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rPr>
        <w:id w:val="361354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CF0521" w:rsidRPr="00816BFB">
            <w:trPr>
              <w:trHeight w:val="2880"/>
              <w:jc w:val="center"/>
            </w:trPr>
            <w:tc>
              <w:tcPr>
                <w:tcW w:w="5000" w:type="pct"/>
              </w:tcPr>
              <w:p w:rsidR="00CF0521" w:rsidRPr="00816BFB" w:rsidRDefault="00CF0521" w:rsidP="00382F35">
                <w:pPr>
                  <w:pStyle w:val="NoSpacing"/>
                  <w:jc w:val="both"/>
                  <w:rPr>
                    <w:rFonts w:asciiTheme="majorHAnsi" w:eastAsiaTheme="majorEastAsia" w:hAnsiTheme="majorHAnsi" w:cstheme="majorBidi"/>
                    <w:caps/>
                    <w:lang w:val="en-GB"/>
                  </w:rPr>
                </w:pPr>
              </w:p>
            </w:tc>
          </w:tr>
          <w:tr w:rsidR="00CF0521" w:rsidRPr="00816BFB">
            <w:trPr>
              <w:trHeight w:val="1440"/>
              <w:jc w:val="center"/>
            </w:trPr>
            <w:sdt>
              <w:sdtPr>
                <w:rPr>
                  <w:rFonts w:asciiTheme="majorHAnsi" w:eastAsiaTheme="majorEastAsia" w:hAnsiTheme="majorHAnsi" w:cstheme="majorBidi"/>
                  <w:sz w:val="52"/>
                  <w:szCs w:val="52"/>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F0521" w:rsidRPr="00816BFB" w:rsidRDefault="00427396" w:rsidP="00FC60A7">
                    <w:pPr>
                      <w:pStyle w:val="NoSpacing"/>
                      <w:jc w:val="center"/>
                      <w:rPr>
                        <w:rFonts w:asciiTheme="majorHAnsi" w:eastAsiaTheme="majorEastAsia" w:hAnsiTheme="majorHAnsi" w:cstheme="majorBidi"/>
                        <w:sz w:val="80"/>
                        <w:szCs w:val="80"/>
                        <w:lang w:val="en-GB"/>
                      </w:rPr>
                    </w:pPr>
                    <w:r w:rsidRPr="00FC60A7">
                      <w:rPr>
                        <w:rFonts w:asciiTheme="majorHAnsi" w:eastAsiaTheme="majorEastAsia" w:hAnsiTheme="majorHAnsi" w:cstheme="majorBidi"/>
                        <w:sz w:val="52"/>
                        <w:szCs w:val="52"/>
                        <w:lang w:val="en-GB"/>
                      </w:rPr>
                      <w:t>Look-</w:t>
                    </w:r>
                    <w:r w:rsidR="001F4B87" w:rsidRPr="00FC60A7">
                      <w:rPr>
                        <w:rFonts w:asciiTheme="majorHAnsi" w:eastAsiaTheme="majorEastAsia" w:hAnsiTheme="majorHAnsi" w:cstheme="majorBidi"/>
                        <w:sz w:val="52"/>
                        <w:szCs w:val="52"/>
                        <w:lang w:val="en-GB"/>
                      </w:rPr>
                      <w:t xml:space="preserve">back </w:t>
                    </w:r>
                    <w:r w:rsidR="00FC60A7" w:rsidRPr="00FC60A7">
                      <w:rPr>
                        <w:rFonts w:asciiTheme="majorHAnsi" w:eastAsiaTheme="majorEastAsia" w:hAnsiTheme="majorHAnsi" w:cstheme="majorBidi"/>
                        <w:sz w:val="52"/>
                        <w:szCs w:val="52"/>
                        <w:lang w:val="en-GB"/>
                      </w:rPr>
                      <w:t>study                                               Short guidance</w:t>
                    </w:r>
                  </w:p>
                </w:tc>
              </w:sdtContent>
            </w:sdt>
          </w:tr>
          <w:tr w:rsidR="00CF0521" w:rsidRPr="00816BFB">
            <w:trPr>
              <w:trHeight w:val="720"/>
              <w:jc w:val="center"/>
            </w:trPr>
            <w:sdt>
              <w:sdtPr>
                <w:rPr>
                  <w:rFonts w:asciiTheme="majorHAnsi" w:eastAsia="Times New Roman" w:hAnsiTheme="majorHAnsi" w:cs="Arial"/>
                  <w:sz w:val="32"/>
                  <w:szCs w:val="32"/>
                  <w:lang w:val="en-GB" w:eastAsia="en-GB"/>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F0521" w:rsidRPr="00FC60A7" w:rsidRDefault="00FC60A7" w:rsidP="003E0DB2">
                    <w:pPr>
                      <w:pStyle w:val="NoSpacing"/>
                      <w:jc w:val="center"/>
                      <w:rPr>
                        <w:rFonts w:asciiTheme="majorHAnsi" w:eastAsiaTheme="majorEastAsia" w:hAnsiTheme="majorHAnsi" w:cstheme="majorBidi"/>
                        <w:sz w:val="32"/>
                        <w:szCs w:val="32"/>
                        <w:lang w:val="en-GB"/>
                      </w:rPr>
                    </w:pPr>
                    <w:r w:rsidRPr="00FC60A7">
                      <w:rPr>
                        <w:rFonts w:asciiTheme="majorHAnsi" w:eastAsia="Times New Roman" w:hAnsiTheme="majorHAnsi" w:cs="Arial"/>
                        <w:sz w:val="32"/>
                        <w:szCs w:val="32"/>
                        <w:lang w:val="en-GB" w:eastAsia="en-GB"/>
                      </w:rPr>
                      <w:t xml:space="preserve">For Red Cross / Red Crescent WatSan Programmes.                      </w:t>
                    </w:r>
                  </w:p>
                </w:tc>
              </w:sdtContent>
            </w:sdt>
          </w:tr>
          <w:tr w:rsidR="00CF0521" w:rsidRPr="00816BFB">
            <w:trPr>
              <w:trHeight w:val="360"/>
              <w:jc w:val="center"/>
            </w:trPr>
            <w:tc>
              <w:tcPr>
                <w:tcW w:w="5000" w:type="pct"/>
                <w:vAlign w:val="center"/>
              </w:tcPr>
              <w:p w:rsidR="00CF0521" w:rsidRPr="00816BFB" w:rsidRDefault="00CF0521" w:rsidP="00382F35">
                <w:pPr>
                  <w:pStyle w:val="NoSpacing"/>
                  <w:jc w:val="both"/>
                  <w:rPr>
                    <w:lang w:val="en-GB"/>
                  </w:rPr>
                </w:pPr>
              </w:p>
            </w:tc>
          </w:tr>
          <w:tr w:rsidR="00CF0521" w:rsidRPr="00816BFB">
            <w:trPr>
              <w:trHeight w:val="360"/>
              <w:jc w:val="center"/>
            </w:trPr>
            <w:sdt>
              <w:sdtPr>
                <w:rPr>
                  <w:b/>
                  <w:bCs/>
                  <w:lang w:val="en-GB"/>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F0521" w:rsidRPr="00816BFB" w:rsidRDefault="0097084D" w:rsidP="00F91925">
                    <w:pPr>
                      <w:pStyle w:val="NoSpacing"/>
                      <w:jc w:val="center"/>
                      <w:rPr>
                        <w:b/>
                        <w:bCs/>
                        <w:lang w:val="en-GB"/>
                      </w:rPr>
                    </w:pPr>
                    <w:r w:rsidRPr="00816BFB">
                      <w:rPr>
                        <w:b/>
                        <w:bCs/>
                        <w:lang w:val="en-GB"/>
                      </w:rPr>
                      <w:t>by</w:t>
                    </w:r>
                  </w:p>
                </w:tc>
              </w:sdtContent>
            </w:sdt>
          </w:tr>
          <w:tr w:rsidR="00CF0521" w:rsidRPr="00816BFB">
            <w:trPr>
              <w:trHeight w:val="360"/>
              <w:jc w:val="center"/>
            </w:trPr>
            <w:sdt>
              <w:sdtPr>
                <w:rPr>
                  <w:b/>
                  <w:bCs/>
                  <w:lang w:val="en-GB"/>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CF0521" w:rsidRPr="00816BFB" w:rsidRDefault="006F5938" w:rsidP="00F91925">
                    <w:pPr>
                      <w:pStyle w:val="NoSpacing"/>
                      <w:jc w:val="center"/>
                      <w:rPr>
                        <w:b/>
                        <w:bCs/>
                        <w:lang w:val="en-GB"/>
                      </w:rPr>
                    </w:pPr>
                    <w:r>
                      <w:rPr>
                        <w:b/>
                        <w:bCs/>
                        <w:lang w:val="en-GB"/>
                      </w:rPr>
                      <w:t>WatSan Unit – IFRC Geneva Secretariat</w:t>
                    </w:r>
                  </w:p>
                </w:tc>
              </w:sdtContent>
            </w:sdt>
          </w:tr>
        </w:tbl>
        <w:p w:rsidR="00CF0521" w:rsidRPr="00816BFB" w:rsidRDefault="00CF0521" w:rsidP="00382F35">
          <w:pPr>
            <w:jc w:val="both"/>
            <w:rPr>
              <w:lang w:val="en-GB"/>
            </w:rPr>
          </w:pPr>
        </w:p>
        <w:p w:rsidR="00CF0521" w:rsidRPr="00816BFB" w:rsidRDefault="00CF0521" w:rsidP="00382F35">
          <w:pPr>
            <w:jc w:val="both"/>
            <w:rPr>
              <w:lang w:val="en-GB"/>
            </w:rPr>
          </w:pPr>
        </w:p>
        <w:tbl>
          <w:tblPr>
            <w:tblpPr w:leftFromText="187" w:rightFromText="187" w:horzAnchor="margin" w:tblpXSpec="center" w:tblpYSpec="bottom"/>
            <w:tblW w:w="5000" w:type="pct"/>
            <w:tblLook w:val="04A0"/>
          </w:tblPr>
          <w:tblGrid>
            <w:gridCol w:w="9576"/>
          </w:tblGrid>
          <w:tr w:rsidR="00CF0521" w:rsidRPr="00816BFB">
            <w:tc>
              <w:tcPr>
                <w:tcW w:w="5000" w:type="pct"/>
              </w:tcPr>
              <w:p w:rsidR="00CF0521" w:rsidRPr="00816BFB" w:rsidRDefault="00FC60A7" w:rsidP="00DA7FB1">
                <w:pPr>
                  <w:pStyle w:val="NoSpacing"/>
                  <w:jc w:val="both"/>
                  <w:rPr>
                    <w:rFonts w:ascii="Times New Roman" w:hAnsi="Times New Roman" w:cs="Times New Roman"/>
                    <w:lang w:val="en-GB"/>
                  </w:rPr>
                </w:pPr>
                <w:r>
                  <w:rPr>
                    <w:rFonts w:ascii="Times New Roman" w:hAnsi="Times New Roman" w:cs="Times New Roman"/>
                    <w:lang w:val="en-GB"/>
                  </w:rPr>
                  <w:t>January 2013</w:t>
                </w:r>
              </w:p>
            </w:tc>
          </w:tr>
        </w:tbl>
        <w:p w:rsidR="00CF0521" w:rsidRPr="00816BFB" w:rsidRDefault="00CF0521" w:rsidP="00382F35">
          <w:pPr>
            <w:jc w:val="both"/>
            <w:rPr>
              <w:lang w:val="en-GB"/>
            </w:rPr>
          </w:pPr>
        </w:p>
        <w:p w:rsidR="00CF0521" w:rsidRPr="00816BFB" w:rsidRDefault="00CF0521" w:rsidP="00382F35">
          <w:pPr>
            <w:jc w:val="both"/>
            <w:rPr>
              <w:lang w:val="en-GB"/>
            </w:rPr>
          </w:pPr>
          <w:r w:rsidRPr="00816BFB">
            <w:rPr>
              <w:lang w:val="en-GB"/>
            </w:rPr>
            <w:br w:type="page"/>
          </w:r>
        </w:p>
      </w:sdtContent>
    </w:sdt>
    <w:p w:rsidR="00D91B5C" w:rsidRPr="00776EDD" w:rsidRDefault="00D91B5C" w:rsidP="00D91B5C">
      <w:pPr>
        <w:pStyle w:val="Heading1"/>
        <w:spacing w:before="0" w:line="240" w:lineRule="auto"/>
        <w:jc w:val="both"/>
        <w:rPr>
          <w:color w:val="auto"/>
        </w:rPr>
      </w:pPr>
      <w:r w:rsidRPr="00776EDD">
        <w:rPr>
          <w:color w:val="auto"/>
        </w:rPr>
        <w:lastRenderedPageBreak/>
        <w:t>Table of contents</w:t>
      </w:r>
    </w:p>
    <w:p w:rsidR="00D91B5C" w:rsidRPr="00776EDD" w:rsidRDefault="00D91B5C" w:rsidP="00D91B5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tblGrid>
      <w:tr w:rsidR="00D91B5C" w:rsidRPr="000C05C9" w:rsidTr="000C05C9">
        <w:tc>
          <w:tcPr>
            <w:tcW w:w="8755" w:type="dxa"/>
            <w:tcBorders>
              <w:top w:val="single" w:sz="4" w:space="0" w:color="auto"/>
              <w:left w:val="single" w:sz="4" w:space="0" w:color="auto"/>
              <w:bottom w:val="single" w:sz="2" w:space="0" w:color="auto"/>
              <w:right w:val="single" w:sz="4" w:space="0" w:color="auto"/>
            </w:tcBorders>
          </w:tcPr>
          <w:p w:rsidR="00D91B5C" w:rsidRPr="000C05C9" w:rsidRDefault="00280D4A" w:rsidP="00280D4A">
            <w:pPr>
              <w:pStyle w:val="ListParagraph"/>
              <w:numPr>
                <w:ilvl w:val="0"/>
                <w:numId w:val="35"/>
              </w:numPr>
              <w:rPr>
                <w:rFonts w:ascii="Times New Roman" w:hAnsi="Times New Roman"/>
                <w:lang w:val="en-GB"/>
              </w:rPr>
            </w:pPr>
            <w:r w:rsidRPr="000C05C9">
              <w:rPr>
                <w:rFonts w:ascii="Times New Roman" w:hAnsi="Times New Roman"/>
                <w:lang w:val="en-GB"/>
              </w:rPr>
              <w:t>Background</w:t>
            </w:r>
            <w:r w:rsidR="009A6510">
              <w:rPr>
                <w:rFonts w:ascii="Times New Roman" w:hAnsi="Times New Roman"/>
                <w:lang w:val="en-GB"/>
              </w:rPr>
              <w:t xml:space="preserve">                                                                               Page 2</w:t>
            </w:r>
          </w:p>
        </w:tc>
      </w:tr>
      <w:tr w:rsidR="00D91B5C" w:rsidRPr="000C05C9" w:rsidTr="000C05C9">
        <w:tc>
          <w:tcPr>
            <w:tcW w:w="8755" w:type="dxa"/>
            <w:tcBorders>
              <w:top w:val="single" w:sz="2" w:space="0" w:color="auto"/>
              <w:left w:val="single" w:sz="4" w:space="0" w:color="auto"/>
              <w:bottom w:val="single" w:sz="2" w:space="0" w:color="auto"/>
              <w:right w:val="single" w:sz="4" w:space="0" w:color="auto"/>
            </w:tcBorders>
          </w:tcPr>
          <w:p w:rsidR="00D91B5C" w:rsidRPr="000C05C9" w:rsidRDefault="00280D4A" w:rsidP="00280D4A">
            <w:pPr>
              <w:pStyle w:val="ListParagraph"/>
              <w:numPr>
                <w:ilvl w:val="0"/>
                <w:numId w:val="35"/>
              </w:numPr>
              <w:rPr>
                <w:rFonts w:ascii="Times New Roman" w:hAnsi="Times New Roman"/>
                <w:lang w:val="en-GB"/>
              </w:rPr>
            </w:pPr>
            <w:r w:rsidRPr="000C05C9">
              <w:rPr>
                <w:rFonts w:ascii="Times New Roman" w:hAnsi="Times New Roman"/>
                <w:lang w:val="en-GB"/>
              </w:rPr>
              <w:t>Look back study: evaluation methods</w:t>
            </w:r>
            <w:r w:rsidR="009A6510">
              <w:rPr>
                <w:rFonts w:ascii="Times New Roman" w:hAnsi="Times New Roman"/>
                <w:lang w:val="en-GB"/>
              </w:rPr>
              <w:t xml:space="preserve">                                       Page 3</w:t>
            </w:r>
          </w:p>
        </w:tc>
      </w:tr>
      <w:tr w:rsidR="00280D4A" w:rsidRPr="000C05C9" w:rsidTr="000C05C9">
        <w:tc>
          <w:tcPr>
            <w:tcW w:w="8755" w:type="dxa"/>
            <w:tcBorders>
              <w:top w:val="single" w:sz="2" w:space="0" w:color="auto"/>
              <w:left w:val="single" w:sz="4" w:space="0" w:color="auto"/>
              <w:bottom w:val="single" w:sz="2" w:space="0" w:color="auto"/>
              <w:right w:val="single" w:sz="4" w:space="0" w:color="auto"/>
            </w:tcBorders>
          </w:tcPr>
          <w:p w:rsidR="00280D4A" w:rsidRPr="000C05C9" w:rsidRDefault="00280D4A" w:rsidP="00280D4A">
            <w:pPr>
              <w:pStyle w:val="ListParagraph"/>
              <w:numPr>
                <w:ilvl w:val="0"/>
                <w:numId w:val="36"/>
              </w:numPr>
              <w:rPr>
                <w:rFonts w:ascii="Times New Roman" w:hAnsi="Times New Roman"/>
                <w:lang w:val="en-GB"/>
              </w:rPr>
            </w:pPr>
            <w:r w:rsidRPr="000C05C9">
              <w:rPr>
                <w:rFonts w:ascii="Times New Roman" w:hAnsi="Times New Roman"/>
                <w:lang w:val="en-GB"/>
              </w:rPr>
              <w:t>Desk research</w:t>
            </w:r>
            <w:r w:rsidR="009A6510">
              <w:rPr>
                <w:rFonts w:ascii="Times New Roman" w:hAnsi="Times New Roman"/>
                <w:lang w:val="en-GB"/>
              </w:rPr>
              <w:t xml:space="preserve">                                                                                   Page 3</w:t>
            </w:r>
          </w:p>
        </w:tc>
      </w:tr>
      <w:tr w:rsidR="00280D4A" w:rsidRPr="000C05C9" w:rsidTr="000C05C9">
        <w:tc>
          <w:tcPr>
            <w:tcW w:w="8755" w:type="dxa"/>
            <w:tcBorders>
              <w:top w:val="single" w:sz="2" w:space="0" w:color="auto"/>
              <w:left w:val="single" w:sz="4" w:space="0" w:color="auto"/>
              <w:bottom w:val="single" w:sz="2" w:space="0" w:color="auto"/>
              <w:right w:val="single" w:sz="4" w:space="0" w:color="auto"/>
            </w:tcBorders>
          </w:tcPr>
          <w:p w:rsidR="00280D4A" w:rsidRPr="000C05C9" w:rsidRDefault="00280D4A" w:rsidP="00280D4A">
            <w:pPr>
              <w:pStyle w:val="ListParagraph"/>
              <w:numPr>
                <w:ilvl w:val="0"/>
                <w:numId w:val="36"/>
              </w:numPr>
              <w:rPr>
                <w:rFonts w:ascii="Times New Roman" w:hAnsi="Times New Roman"/>
                <w:lang w:val="en-GB"/>
              </w:rPr>
            </w:pPr>
            <w:r w:rsidRPr="000C05C9">
              <w:rPr>
                <w:rFonts w:ascii="Times New Roman" w:hAnsi="Times New Roman"/>
                <w:lang w:val="en-GB"/>
              </w:rPr>
              <w:t>Household survey</w:t>
            </w:r>
            <w:r w:rsidR="009A6510">
              <w:rPr>
                <w:rFonts w:ascii="Times New Roman" w:hAnsi="Times New Roman"/>
                <w:lang w:val="en-GB"/>
              </w:rPr>
              <w:t xml:space="preserve">                                                                             Page 3</w:t>
            </w:r>
          </w:p>
        </w:tc>
      </w:tr>
      <w:tr w:rsidR="00280D4A" w:rsidRPr="000C05C9" w:rsidTr="000C05C9">
        <w:tc>
          <w:tcPr>
            <w:tcW w:w="8755" w:type="dxa"/>
            <w:tcBorders>
              <w:top w:val="single" w:sz="2" w:space="0" w:color="auto"/>
              <w:left w:val="single" w:sz="4" w:space="0" w:color="auto"/>
              <w:bottom w:val="single" w:sz="2" w:space="0" w:color="auto"/>
              <w:right w:val="single" w:sz="4" w:space="0" w:color="auto"/>
            </w:tcBorders>
          </w:tcPr>
          <w:p w:rsidR="00280D4A" w:rsidRPr="000C05C9" w:rsidRDefault="00280D4A" w:rsidP="00280D4A">
            <w:pPr>
              <w:pStyle w:val="ListParagraph"/>
              <w:numPr>
                <w:ilvl w:val="0"/>
                <w:numId w:val="36"/>
              </w:numPr>
              <w:tabs>
                <w:tab w:val="left" w:pos="720"/>
                <w:tab w:val="left" w:pos="810"/>
                <w:tab w:val="left" w:pos="990"/>
              </w:tabs>
              <w:rPr>
                <w:rFonts w:ascii="Times New Roman" w:hAnsi="Times New Roman"/>
                <w:lang w:val="en-GB"/>
              </w:rPr>
            </w:pPr>
            <w:r w:rsidRPr="000C05C9">
              <w:rPr>
                <w:rFonts w:ascii="Times New Roman" w:hAnsi="Times New Roman"/>
                <w:lang w:val="en-GB"/>
              </w:rPr>
              <w:t>Interviews and FGD</w:t>
            </w:r>
            <w:r w:rsidR="009A6510">
              <w:rPr>
                <w:rFonts w:ascii="Times New Roman" w:hAnsi="Times New Roman"/>
                <w:lang w:val="en-GB"/>
              </w:rPr>
              <w:t xml:space="preserve">                                                                         Page 4</w:t>
            </w:r>
          </w:p>
        </w:tc>
      </w:tr>
      <w:tr w:rsidR="00280D4A" w:rsidRPr="000C05C9" w:rsidTr="000C05C9">
        <w:tc>
          <w:tcPr>
            <w:tcW w:w="8755" w:type="dxa"/>
            <w:tcBorders>
              <w:top w:val="single" w:sz="2" w:space="0" w:color="auto"/>
              <w:left w:val="single" w:sz="4" w:space="0" w:color="auto"/>
              <w:bottom w:val="single" w:sz="2" w:space="0" w:color="auto"/>
              <w:right w:val="single" w:sz="4" w:space="0" w:color="auto"/>
            </w:tcBorders>
          </w:tcPr>
          <w:p w:rsidR="00280D4A" w:rsidRPr="000C05C9" w:rsidRDefault="00280D4A" w:rsidP="00280D4A">
            <w:pPr>
              <w:pStyle w:val="ListParagraph"/>
              <w:numPr>
                <w:ilvl w:val="0"/>
                <w:numId w:val="36"/>
              </w:numPr>
              <w:tabs>
                <w:tab w:val="left" w:pos="720"/>
                <w:tab w:val="left" w:pos="810"/>
                <w:tab w:val="left" w:pos="990"/>
              </w:tabs>
              <w:rPr>
                <w:rFonts w:ascii="Times New Roman" w:hAnsi="Times New Roman"/>
                <w:lang w:val="en-GB"/>
              </w:rPr>
            </w:pPr>
            <w:r w:rsidRPr="000C05C9">
              <w:rPr>
                <w:rFonts w:ascii="Times New Roman" w:hAnsi="Times New Roman"/>
                <w:lang w:val="en-GB"/>
              </w:rPr>
              <w:t>Inventory</w:t>
            </w:r>
            <w:r w:rsidR="009A6510">
              <w:rPr>
                <w:rFonts w:ascii="Times New Roman" w:hAnsi="Times New Roman"/>
                <w:lang w:val="en-GB"/>
              </w:rPr>
              <w:t xml:space="preserve">                                                                                          Page 4</w:t>
            </w:r>
          </w:p>
        </w:tc>
      </w:tr>
      <w:tr w:rsidR="00280D4A" w:rsidRPr="000C05C9" w:rsidTr="000C05C9">
        <w:tc>
          <w:tcPr>
            <w:tcW w:w="8755" w:type="dxa"/>
            <w:tcBorders>
              <w:top w:val="single" w:sz="2" w:space="0" w:color="auto"/>
              <w:left w:val="single" w:sz="4" w:space="0" w:color="auto"/>
              <w:bottom w:val="single" w:sz="2" w:space="0" w:color="auto"/>
              <w:right w:val="single" w:sz="4" w:space="0" w:color="auto"/>
            </w:tcBorders>
          </w:tcPr>
          <w:p w:rsidR="00280D4A" w:rsidRPr="000C05C9" w:rsidRDefault="00280D4A" w:rsidP="00280D4A">
            <w:pPr>
              <w:pStyle w:val="ListParagraph"/>
              <w:numPr>
                <w:ilvl w:val="0"/>
                <w:numId w:val="35"/>
              </w:numPr>
              <w:rPr>
                <w:rFonts w:ascii="Times New Roman" w:hAnsi="Times New Roman"/>
                <w:lang w:val="en-GB"/>
              </w:rPr>
            </w:pPr>
            <w:r w:rsidRPr="000C05C9">
              <w:rPr>
                <w:rFonts w:ascii="Times New Roman" w:hAnsi="Times New Roman"/>
                <w:lang w:val="en-GB"/>
              </w:rPr>
              <w:t>Look back study: evaluation criteria</w:t>
            </w:r>
            <w:r w:rsidR="009A6510">
              <w:rPr>
                <w:rFonts w:ascii="Times New Roman" w:hAnsi="Times New Roman"/>
                <w:lang w:val="en-GB"/>
              </w:rPr>
              <w:t xml:space="preserve">                                         Page 5</w:t>
            </w:r>
          </w:p>
        </w:tc>
      </w:tr>
      <w:tr w:rsidR="00A94006" w:rsidRPr="000C05C9" w:rsidTr="000C05C9">
        <w:tc>
          <w:tcPr>
            <w:tcW w:w="8755" w:type="dxa"/>
            <w:tcBorders>
              <w:top w:val="single" w:sz="2" w:space="0" w:color="auto"/>
              <w:left w:val="single" w:sz="4" w:space="0" w:color="auto"/>
              <w:bottom w:val="single" w:sz="2" w:space="0" w:color="auto"/>
              <w:right w:val="single" w:sz="4" w:space="0" w:color="auto"/>
            </w:tcBorders>
          </w:tcPr>
          <w:p w:rsidR="00A94006" w:rsidRPr="000C05C9" w:rsidRDefault="00A94006" w:rsidP="00CA1B28">
            <w:pPr>
              <w:pStyle w:val="ListParagraph"/>
              <w:numPr>
                <w:ilvl w:val="0"/>
                <w:numId w:val="37"/>
              </w:numPr>
              <w:rPr>
                <w:rFonts w:ascii="Times New Roman" w:hAnsi="Times New Roman"/>
                <w:lang w:val="en-GB"/>
              </w:rPr>
            </w:pPr>
            <w:r w:rsidRPr="000C05C9">
              <w:rPr>
                <w:rFonts w:ascii="Times New Roman" w:hAnsi="Times New Roman"/>
                <w:lang w:val="en-GB"/>
              </w:rPr>
              <w:t>Impact criteria</w:t>
            </w:r>
            <w:r>
              <w:rPr>
                <w:rFonts w:ascii="Times New Roman" w:hAnsi="Times New Roman"/>
                <w:lang w:val="en-GB"/>
              </w:rPr>
              <w:t xml:space="preserve">                                                                                  Page 5</w:t>
            </w:r>
          </w:p>
        </w:tc>
      </w:tr>
      <w:tr w:rsidR="00A94006" w:rsidRPr="000C05C9" w:rsidTr="000C05C9">
        <w:tc>
          <w:tcPr>
            <w:tcW w:w="8755" w:type="dxa"/>
            <w:tcBorders>
              <w:top w:val="single" w:sz="2" w:space="0" w:color="auto"/>
              <w:left w:val="single" w:sz="4" w:space="0" w:color="auto"/>
              <w:bottom w:val="single" w:sz="2" w:space="0" w:color="auto"/>
              <w:right w:val="single" w:sz="4" w:space="0" w:color="auto"/>
            </w:tcBorders>
          </w:tcPr>
          <w:p w:rsidR="00A94006" w:rsidRPr="000C05C9" w:rsidRDefault="00A94006" w:rsidP="00CA1B28">
            <w:pPr>
              <w:pStyle w:val="ListParagraph"/>
              <w:numPr>
                <w:ilvl w:val="0"/>
                <w:numId w:val="37"/>
              </w:numPr>
              <w:rPr>
                <w:rFonts w:ascii="Times New Roman" w:hAnsi="Times New Roman"/>
                <w:lang w:val="en-GB"/>
              </w:rPr>
            </w:pPr>
            <w:r w:rsidRPr="000C05C9">
              <w:rPr>
                <w:rFonts w:ascii="Times New Roman" w:hAnsi="Times New Roman"/>
                <w:lang w:val="en-GB"/>
              </w:rPr>
              <w:t>Sustainability criteria</w:t>
            </w:r>
            <w:r>
              <w:rPr>
                <w:rFonts w:ascii="Times New Roman" w:hAnsi="Times New Roman"/>
                <w:lang w:val="en-GB"/>
              </w:rPr>
              <w:t xml:space="preserve">                                                                       Page 6</w:t>
            </w:r>
          </w:p>
        </w:tc>
      </w:tr>
      <w:tr w:rsidR="00A94006" w:rsidRPr="000C05C9" w:rsidTr="000C05C9">
        <w:tc>
          <w:tcPr>
            <w:tcW w:w="8755" w:type="dxa"/>
            <w:tcBorders>
              <w:top w:val="single" w:sz="2" w:space="0" w:color="auto"/>
              <w:left w:val="single" w:sz="4" w:space="0" w:color="auto"/>
              <w:bottom w:val="single" w:sz="2" w:space="0" w:color="auto"/>
              <w:right w:val="single" w:sz="4" w:space="0" w:color="auto"/>
            </w:tcBorders>
          </w:tcPr>
          <w:p w:rsidR="00A94006" w:rsidRPr="00A94006" w:rsidRDefault="00A94006" w:rsidP="00A94006">
            <w:pPr>
              <w:pStyle w:val="ListParagraph"/>
              <w:numPr>
                <w:ilvl w:val="0"/>
                <w:numId w:val="35"/>
              </w:numPr>
              <w:rPr>
                <w:rFonts w:ascii="Times New Roman" w:hAnsi="Times New Roman"/>
                <w:lang w:val="en-GB"/>
              </w:rPr>
            </w:pPr>
            <w:r>
              <w:rPr>
                <w:rFonts w:ascii="Times New Roman" w:hAnsi="Times New Roman"/>
                <w:lang w:val="en-GB"/>
              </w:rPr>
              <w:t>Common questions and answers                                               Page 7</w:t>
            </w:r>
          </w:p>
        </w:tc>
      </w:tr>
      <w:tr w:rsidR="00A94006" w:rsidRPr="000C05C9" w:rsidTr="000C05C9">
        <w:tc>
          <w:tcPr>
            <w:tcW w:w="8755" w:type="dxa"/>
            <w:tcBorders>
              <w:top w:val="single" w:sz="2" w:space="0" w:color="auto"/>
              <w:left w:val="single" w:sz="4" w:space="0" w:color="auto"/>
              <w:right w:val="single" w:sz="4" w:space="0" w:color="auto"/>
            </w:tcBorders>
          </w:tcPr>
          <w:p w:rsidR="00A94006" w:rsidRPr="000C05C9" w:rsidRDefault="00A94006" w:rsidP="000C05C9">
            <w:pPr>
              <w:tabs>
                <w:tab w:val="left" w:pos="720"/>
                <w:tab w:val="left" w:pos="810"/>
                <w:tab w:val="left" w:pos="990"/>
              </w:tabs>
              <w:ind w:left="360"/>
              <w:rPr>
                <w:rFonts w:ascii="Times New Roman" w:hAnsi="Times New Roman"/>
                <w:lang w:val="en-GB"/>
              </w:rPr>
            </w:pPr>
            <w:r w:rsidRPr="000C05C9">
              <w:rPr>
                <w:rFonts w:ascii="Times New Roman" w:hAnsi="Times New Roman"/>
                <w:lang w:val="en-GB"/>
              </w:rPr>
              <w:t>Annex 1 – Household survey questionnaire</w:t>
            </w:r>
            <w:r>
              <w:rPr>
                <w:rFonts w:ascii="Times New Roman" w:hAnsi="Times New Roman"/>
                <w:lang w:val="en-GB"/>
              </w:rPr>
              <w:t xml:space="preserve">                                           Separate file</w:t>
            </w:r>
          </w:p>
        </w:tc>
      </w:tr>
      <w:tr w:rsidR="00A94006" w:rsidRPr="000C05C9" w:rsidTr="000C05C9">
        <w:tc>
          <w:tcPr>
            <w:tcW w:w="8755" w:type="dxa"/>
            <w:tcBorders>
              <w:top w:val="single" w:sz="2" w:space="0" w:color="auto"/>
              <w:left w:val="single" w:sz="4" w:space="0" w:color="auto"/>
              <w:bottom w:val="single" w:sz="4" w:space="0" w:color="auto"/>
              <w:right w:val="single" w:sz="4" w:space="0" w:color="auto"/>
            </w:tcBorders>
          </w:tcPr>
          <w:p w:rsidR="00A94006" w:rsidRPr="000C05C9" w:rsidRDefault="00A94006" w:rsidP="000C05C9">
            <w:pPr>
              <w:tabs>
                <w:tab w:val="left" w:pos="720"/>
                <w:tab w:val="left" w:pos="810"/>
                <w:tab w:val="left" w:pos="990"/>
              </w:tabs>
              <w:ind w:left="360"/>
              <w:rPr>
                <w:rFonts w:ascii="Times New Roman" w:hAnsi="Times New Roman"/>
                <w:lang w:val="en-GB"/>
              </w:rPr>
            </w:pPr>
            <w:r w:rsidRPr="000C05C9">
              <w:rPr>
                <w:rFonts w:ascii="Times New Roman" w:hAnsi="Times New Roman"/>
                <w:lang w:val="en-GB"/>
              </w:rPr>
              <w:t>Annex 2 – Examples of interview and FGD guides</w:t>
            </w:r>
            <w:r w:rsidRPr="00A94006">
              <w:rPr>
                <w:rFonts w:ascii="Times New Roman" w:hAnsi="Times New Roman"/>
                <w:lang w:val="en-GB"/>
              </w:rPr>
              <w:t xml:space="preserve">           </w:t>
            </w:r>
            <w:r>
              <w:rPr>
                <w:rFonts w:ascii="Times New Roman" w:hAnsi="Times New Roman"/>
                <w:lang w:val="en-GB"/>
              </w:rPr>
              <w:t xml:space="preserve">                    </w:t>
            </w:r>
            <w:r w:rsidRPr="00A94006">
              <w:rPr>
                <w:rFonts w:ascii="Times New Roman" w:hAnsi="Times New Roman"/>
                <w:lang w:val="en-GB"/>
              </w:rPr>
              <w:t>Separate file</w:t>
            </w:r>
          </w:p>
        </w:tc>
      </w:tr>
      <w:tr w:rsidR="00A94006" w:rsidRPr="000C05C9" w:rsidTr="000C05C9">
        <w:trPr>
          <w:trHeight w:val="80"/>
        </w:trPr>
        <w:tc>
          <w:tcPr>
            <w:tcW w:w="8755" w:type="dxa"/>
            <w:tcBorders>
              <w:top w:val="single" w:sz="4" w:space="0" w:color="auto"/>
              <w:left w:val="single" w:sz="4" w:space="0" w:color="auto"/>
              <w:bottom w:val="single" w:sz="4" w:space="0" w:color="auto"/>
              <w:right w:val="single" w:sz="4" w:space="0" w:color="auto"/>
            </w:tcBorders>
          </w:tcPr>
          <w:p w:rsidR="00A94006" w:rsidRPr="000C05C9" w:rsidRDefault="00A94006" w:rsidP="000C05C9">
            <w:pPr>
              <w:tabs>
                <w:tab w:val="left" w:pos="426"/>
                <w:tab w:val="left" w:pos="720"/>
                <w:tab w:val="left" w:pos="810"/>
              </w:tabs>
              <w:ind w:left="360"/>
              <w:rPr>
                <w:rFonts w:ascii="Times New Roman" w:hAnsi="Times New Roman"/>
                <w:lang w:val="en-GB"/>
              </w:rPr>
            </w:pPr>
            <w:r>
              <w:rPr>
                <w:rFonts w:ascii="Times New Roman" w:hAnsi="Times New Roman"/>
                <w:lang w:val="en-GB"/>
              </w:rPr>
              <w:t>Annex 3 – Terms of reference</w:t>
            </w:r>
            <w:r w:rsidRPr="00A94006">
              <w:rPr>
                <w:rFonts w:ascii="Times New Roman" w:hAnsi="Times New Roman"/>
                <w:lang w:val="en-GB"/>
              </w:rPr>
              <w:t xml:space="preserve">                                           </w:t>
            </w:r>
            <w:r>
              <w:rPr>
                <w:rFonts w:ascii="Times New Roman" w:hAnsi="Times New Roman"/>
                <w:lang w:val="en-GB"/>
              </w:rPr>
              <w:t xml:space="preserve">                     </w:t>
            </w:r>
            <w:r w:rsidRPr="00A94006">
              <w:rPr>
                <w:rFonts w:ascii="Times New Roman" w:hAnsi="Times New Roman"/>
                <w:lang w:val="en-GB"/>
              </w:rPr>
              <w:t>Separate file</w:t>
            </w:r>
          </w:p>
        </w:tc>
      </w:tr>
      <w:tr w:rsidR="00A94006" w:rsidRPr="000C05C9" w:rsidTr="000C05C9">
        <w:trPr>
          <w:trHeight w:val="80"/>
        </w:trPr>
        <w:tc>
          <w:tcPr>
            <w:tcW w:w="8755" w:type="dxa"/>
            <w:tcBorders>
              <w:top w:val="single" w:sz="4" w:space="0" w:color="auto"/>
              <w:left w:val="single" w:sz="4" w:space="0" w:color="auto"/>
              <w:bottom w:val="single" w:sz="4" w:space="0" w:color="auto"/>
              <w:right w:val="single" w:sz="4" w:space="0" w:color="auto"/>
            </w:tcBorders>
          </w:tcPr>
          <w:p w:rsidR="00A94006" w:rsidRPr="000C05C9" w:rsidRDefault="00A94006" w:rsidP="000C05C9">
            <w:pPr>
              <w:pStyle w:val="ListParagraph"/>
              <w:tabs>
                <w:tab w:val="left" w:pos="284"/>
                <w:tab w:val="left" w:pos="720"/>
                <w:tab w:val="left" w:pos="810"/>
              </w:tabs>
              <w:ind w:left="360"/>
              <w:rPr>
                <w:rFonts w:ascii="Times New Roman" w:hAnsi="Times New Roman"/>
                <w:lang w:val="en-GB"/>
              </w:rPr>
            </w:pPr>
            <w:r>
              <w:rPr>
                <w:rFonts w:ascii="Times New Roman" w:hAnsi="Times New Roman"/>
                <w:lang w:val="en-GB"/>
              </w:rPr>
              <w:t>Annex 4 – Inventory form</w:t>
            </w:r>
            <w:r w:rsidRPr="00A94006">
              <w:rPr>
                <w:rFonts w:ascii="Times New Roman" w:hAnsi="Times New Roman"/>
                <w:lang w:val="en-GB"/>
              </w:rPr>
              <w:t xml:space="preserve">                                           </w:t>
            </w:r>
            <w:r>
              <w:rPr>
                <w:rFonts w:ascii="Times New Roman" w:hAnsi="Times New Roman"/>
                <w:lang w:val="en-GB"/>
              </w:rPr>
              <w:t xml:space="preserve">                           </w:t>
            </w:r>
            <w:r w:rsidRPr="00A94006">
              <w:rPr>
                <w:rFonts w:ascii="Times New Roman" w:hAnsi="Times New Roman"/>
                <w:lang w:val="en-GB"/>
              </w:rPr>
              <w:t>Separate file</w:t>
            </w:r>
          </w:p>
        </w:tc>
      </w:tr>
    </w:tbl>
    <w:p w:rsidR="00D91B5C" w:rsidRDefault="00D91B5C" w:rsidP="00D91B5C">
      <w:pPr>
        <w:pStyle w:val="Heading1"/>
        <w:spacing w:before="0" w:line="240" w:lineRule="auto"/>
        <w:jc w:val="both"/>
        <w:rPr>
          <w:color w:val="auto"/>
          <w:lang w:val="en-GB"/>
        </w:rPr>
      </w:pPr>
    </w:p>
    <w:p w:rsidR="00F905D3" w:rsidRPr="00816BFB" w:rsidRDefault="00182653" w:rsidP="001B79FC">
      <w:pPr>
        <w:pStyle w:val="Heading1"/>
        <w:numPr>
          <w:ilvl w:val="0"/>
          <w:numId w:val="34"/>
        </w:numPr>
        <w:spacing w:before="0" w:line="240" w:lineRule="auto"/>
        <w:jc w:val="both"/>
        <w:rPr>
          <w:color w:val="auto"/>
          <w:lang w:val="en-GB"/>
        </w:rPr>
      </w:pPr>
      <w:r w:rsidRPr="00816BFB">
        <w:rPr>
          <w:color w:val="auto"/>
          <w:lang w:val="en-GB"/>
        </w:rPr>
        <w:t>Background</w:t>
      </w:r>
    </w:p>
    <w:p w:rsidR="00F905D3" w:rsidRPr="00816BFB" w:rsidRDefault="00F905D3" w:rsidP="00382F35">
      <w:pPr>
        <w:spacing w:after="0" w:line="240" w:lineRule="auto"/>
        <w:jc w:val="both"/>
        <w:rPr>
          <w:lang w:val="en-GB"/>
        </w:rPr>
      </w:pPr>
    </w:p>
    <w:p w:rsidR="00D61D7F" w:rsidRDefault="001872F1" w:rsidP="00D61D7F">
      <w:pPr>
        <w:spacing w:after="120" w:line="240" w:lineRule="auto"/>
        <w:jc w:val="both"/>
        <w:rPr>
          <w:rFonts w:ascii="Times New Roman" w:hAnsi="Times New Roman" w:cs="Times New Roman"/>
          <w:lang w:val="en-GB"/>
        </w:rPr>
      </w:pPr>
      <w:r w:rsidRPr="001872F1">
        <w:rPr>
          <w:rFonts w:ascii="Times New Roman" w:hAnsi="Times New Roman" w:cs="Times New Roman"/>
          <w:lang w:val="en-GB"/>
        </w:rPr>
        <w:t xml:space="preserve">The International Federation of Red Cross and Red Crescent (IFRC) </w:t>
      </w:r>
      <w:proofErr w:type="gramStart"/>
      <w:r w:rsidRPr="001872F1">
        <w:rPr>
          <w:rFonts w:ascii="Times New Roman" w:hAnsi="Times New Roman" w:cs="Times New Roman"/>
          <w:lang w:val="en-GB"/>
        </w:rPr>
        <w:t>has</w:t>
      </w:r>
      <w:proofErr w:type="gramEnd"/>
      <w:r w:rsidRPr="001872F1">
        <w:rPr>
          <w:rFonts w:ascii="Times New Roman" w:hAnsi="Times New Roman" w:cs="Times New Roman"/>
          <w:lang w:val="en-GB"/>
        </w:rPr>
        <w:t xml:space="preserve"> supported the implementation of Water, Sanitation and Hygiene (WatSan/HP) projects for many years in different parts of the world within the framework of the Global Water and Sanitation Initiative (GWSI). Past evaluations of those programmes have been undertaken immediately after an intervention so it has been in most of the cases difficult to assess in detail the changes associated to the project since they may take many months or even years to become apparent. </w:t>
      </w:r>
    </w:p>
    <w:p w:rsidR="001872F1" w:rsidRPr="001872F1" w:rsidRDefault="001872F1" w:rsidP="00D61D7F">
      <w:pPr>
        <w:spacing w:after="120" w:line="240" w:lineRule="auto"/>
        <w:jc w:val="both"/>
        <w:rPr>
          <w:rFonts w:ascii="Times New Roman" w:hAnsi="Times New Roman" w:cs="Times New Roman"/>
          <w:lang w:val="en-GB"/>
        </w:rPr>
      </w:pPr>
      <w:r w:rsidRPr="001872F1">
        <w:rPr>
          <w:rFonts w:ascii="Times New Roman" w:hAnsi="Times New Roman" w:cs="Times New Roman"/>
          <w:lang w:val="en-GB"/>
        </w:rPr>
        <w:t xml:space="preserve">It has been also challenging to assess, right after project completion, at what extend communities and local authorities are truly self-sufficient in operating and managing the facilities provided by the intervention, and how changes in access to safer water sources and sanitation services are sustained in the target area. </w:t>
      </w:r>
    </w:p>
    <w:p w:rsidR="00D61D7F" w:rsidRDefault="001872F1" w:rsidP="00D61D7F">
      <w:pPr>
        <w:pStyle w:val="ListParagraph"/>
        <w:spacing w:after="120" w:line="240" w:lineRule="auto"/>
        <w:ind w:left="0"/>
        <w:contextualSpacing w:val="0"/>
        <w:jc w:val="both"/>
        <w:rPr>
          <w:rFonts w:ascii="Times New Roman" w:hAnsi="Times New Roman"/>
          <w:lang w:val="en-GB"/>
        </w:rPr>
      </w:pPr>
      <w:r w:rsidRPr="001872F1">
        <w:rPr>
          <w:rFonts w:ascii="Times New Roman" w:hAnsi="Times New Roman"/>
          <w:lang w:val="en-GB"/>
        </w:rPr>
        <w:t xml:space="preserve">With the new ‘look-back’ methodology, the IFRC intends to provide a framework for a post-project evaluation. The purpose of the methodology is to facilitate, through a set of standard tools and guidance, a better understanding of the long-term impact of a WatSan intervention and the sustainability aspects of that intervention over 2-4 years after project completion. </w:t>
      </w:r>
    </w:p>
    <w:p w:rsidR="00D61D7F" w:rsidRDefault="00D61D7F" w:rsidP="003E0DB2">
      <w:pPr>
        <w:spacing w:after="0" w:line="240" w:lineRule="auto"/>
        <w:jc w:val="both"/>
        <w:rPr>
          <w:rFonts w:ascii="Times New Roman" w:hAnsi="Times New Roman" w:cs="Times New Roman"/>
          <w:b/>
          <w:sz w:val="24"/>
          <w:szCs w:val="24"/>
          <w:lang w:val="en-GB"/>
        </w:rPr>
      </w:pPr>
    </w:p>
    <w:p w:rsidR="00F905D3" w:rsidRPr="003E0DB2" w:rsidRDefault="004979CE" w:rsidP="003E0DB2">
      <w:pPr>
        <w:spacing w:after="0" w:line="240" w:lineRule="auto"/>
        <w:jc w:val="both"/>
        <w:rPr>
          <w:rFonts w:ascii="Times New Roman" w:hAnsi="Times New Roman" w:cs="Times New Roman"/>
          <w:b/>
          <w:sz w:val="24"/>
          <w:szCs w:val="24"/>
          <w:lang w:val="en-GB"/>
        </w:rPr>
      </w:pPr>
      <w:r w:rsidRPr="003E0DB2">
        <w:rPr>
          <w:rFonts w:ascii="Times New Roman" w:hAnsi="Times New Roman" w:cs="Times New Roman"/>
          <w:b/>
          <w:sz w:val="24"/>
          <w:szCs w:val="24"/>
          <w:lang w:val="en-GB"/>
        </w:rPr>
        <w:t xml:space="preserve">This </w:t>
      </w:r>
      <w:r w:rsidR="00EB3DCC" w:rsidRPr="003E0DB2">
        <w:rPr>
          <w:rFonts w:ascii="Times New Roman" w:hAnsi="Times New Roman" w:cs="Times New Roman"/>
          <w:b/>
          <w:sz w:val="24"/>
          <w:szCs w:val="24"/>
          <w:lang w:val="en-GB"/>
        </w:rPr>
        <w:t>guidance</w:t>
      </w:r>
    </w:p>
    <w:p w:rsidR="004979CE" w:rsidRPr="00816BFB" w:rsidRDefault="004979CE" w:rsidP="003E0DB2">
      <w:pPr>
        <w:spacing w:after="0" w:line="240" w:lineRule="auto"/>
        <w:jc w:val="both"/>
        <w:rPr>
          <w:lang w:val="en-GB"/>
        </w:rPr>
      </w:pPr>
    </w:p>
    <w:p w:rsidR="004979CE" w:rsidRPr="00816BFB" w:rsidRDefault="003E0DB2" w:rsidP="003E0DB2">
      <w:pPr>
        <w:spacing w:after="0" w:line="240" w:lineRule="auto"/>
        <w:jc w:val="both"/>
        <w:rPr>
          <w:rFonts w:ascii="Times New Roman" w:hAnsi="Times New Roman" w:cs="Times New Roman"/>
          <w:lang w:val="en-GB"/>
        </w:rPr>
      </w:pPr>
      <w:r w:rsidRPr="003E0DB2">
        <w:rPr>
          <w:rFonts w:ascii="Times New Roman" w:hAnsi="Times New Roman" w:cs="Times New Roman"/>
          <w:lang w:val="en-GB"/>
        </w:rPr>
        <w:t xml:space="preserve">This </w:t>
      </w:r>
      <w:r>
        <w:rPr>
          <w:rFonts w:ascii="Times New Roman" w:hAnsi="Times New Roman" w:cs="Times New Roman"/>
          <w:lang w:val="en-GB"/>
        </w:rPr>
        <w:t xml:space="preserve">guidance </w:t>
      </w:r>
      <w:r w:rsidR="009257A9">
        <w:rPr>
          <w:rFonts w:ascii="Times New Roman" w:hAnsi="Times New Roman" w:cs="Times New Roman"/>
          <w:lang w:val="en-GB"/>
        </w:rPr>
        <w:t>presents</w:t>
      </w:r>
      <w:r>
        <w:rPr>
          <w:rFonts w:ascii="Times New Roman" w:hAnsi="Times New Roman" w:cs="Times New Roman"/>
          <w:lang w:val="en-GB"/>
        </w:rPr>
        <w:t xml:space="preserve"> a </w:t>
      </w:r>
      <w:r w:rsidR="009257A9">
        <w:rPr>
          <w:rFonts w:ascii="Times New Roman" w:hAnsi="Times New Roman" w:cs="Times New Roman"/>
          <w:lang w:val="en-GB"/>
        </w:rPr>
        <w:t>general</w:t>
      </w:r>
      <w:r>
        <w:rPr>
          <w:rFonts w:ascii="Times New Roman" w:hAnsi="Times New Roman" w:cs="Times New Roman"/>
          <w:lang w:val="en-GB"/>
        </w:rPr>
        <w:t xml:space="preserve"> introduction to the </w:t>
      </w:r>
      <w:r w:rsidRPr="003E0DB2">
        <w:rPr>
          <w:rFonts w:ascii="Times New Roman" w:hAnsi="Times New Roman" w:cs="Times New Roman"/>
          <w:lang w:val="en-GB"/>
        </w:rPr>
        <w:t>‘look-back’ methodology</w:t>
      </w:r>
      <w:r w:rsidR="009257A9">
        <w:rPr>
          <w:rFonts w:ascii="Times New Roman" w:hAnsi="Times New Roman" w:cs="Times New Roman"/>
          <w:lang w:val="en-GB"/>
        </w:rPr>
        <w:t xml:space="preserve">, initially developed by Netherlands Red Cross in 2010 to assist non- technical evaluation teams undertaking look-back studies of WatSan projects or programmes. </w:t>
      </w:r>
      <w:r w:rsidR="00BA023F">
        <w:rPr>
          <w:rFonts w:ascii="Times New Roman" w:hAnsi="Times New Roman" w:cs="Times New Roman"/>
          <w:lang w:val="en-GB"/>
        </w:rPr>
        <w:t xml:space="preserve">The main components of a standard look-back study are briefly described in this guidance and examples of tools included as annexes. </w:t>
      </w:r>
      <w:r w:rsidR="009257A9">
        <w:rPr>
          <w:rFonts w:ascii="Times New Roman" w:hAnsi="Times New Roman" w:cs="Times New Roman"/>
          <w:lang w:val="en-GB"/>
        </w:rPr>
        <w:t xml:space="preserve">The methodology has been tested in Uganda in 2011 and in Zimbabwe in </w:t>
      </w:r>
      <w:r>
        <w:rPr>
          <w:rFonts w:ascii="Times New Roman" w:hAnsi="Times New Roman" w:cs="Times New Roman"/>
          <w:lang w:val="en-GB"/>
        </w:rPr>
        <w:t>2012</w:t>
      </w:r>
      <w:r w:rsidR="009257A9">
        <w:rPr>
          <w:rFonts w:ascii="Times New Roman" w:hAnsi="Times New Roman" w:cs="Times New Roman"/>
          <w:lang w:val="en-GB"/>
        </w:rPr>
        <w:t xml:space="preserve">. </w:t>
      </w:r>
      <w:r>
        <w:rPr>
          <w:rFonts w:ascii="Times New Roman" w:hAnsi="Times New Roman" w:cs="Times New Roman"/>
          <w:lang w:val="en-GB"/>
        </w:rPr>
        <w:t xml:space="preserve">As annexes, it includes some examples of the evaluation tools used in those two studies. </w:t>
      </w:r>
    </w:p>
    <w:p w:rsidR="004979CE" w:rsidRPr="00816BFB" w:rsidRDefault="004979CE" w:rsidP="003E0DB2">
      <w:pPr>
        <w:spacing w:after="0" w:line="240" w:lineRule="auto"/>
        <w:jc w:val="both"/>
        <w:rPr>
          <w:rFonts w:ascii="Times New Roman" w:hAnsi="Times New Roman" w:cs="Times New Roman"/>
          <w:lang w:val="en-GB"/>
        </w:rPr>
      </w:pPr>
    </w:p>
    <w:p w:rsidR="001872F1" w:rsidRDefault="001872F1">
      <w:pPr>
        <w:rPr>
          <w:rFonts w:ascii="Times New Roman" w:eastAsiaTheme="majorEastAsia" w:hAnsi="Times New Roman" w:cs="Times New Roman"/>
          <w:b/>
          <w:bCs/>
          <w:sz w:val="28"/>
          <w:szCs w:val="28"/>
          <w:lang w:val="en-GB"/>
        </w:rPr>
      </w:pPr>
      <w:r>
        <w:rPr>
          <w:rFonts w:ascii="Times New Roman" w:hAnsi="Times New Roman" w:cs="Times New Roman"/>
          <w:lang w:val="en-GB"/>
        </w:rPr>
        <w:br w:type="page"/>
      </w:r>
    </w:p>
    <w:p w:rsidR="00182653" w:rsidRPr="00816BFB" w:rsidRDefault="00EB3DCC" w:rsidP="001B79FC">
      <w:pPr>
        <w:pStyle w:val="Heading1"/>
        <w:numPr>
          <w:ilvl w:val="0"/>
          <w:numId w:val="34"/>
        </w:numPr>
        <w:spacing w:before="0" w:line="240" w:lineRule="auto"/>
        <w:jc w:val="both"/>
        <w:rPr>
          <w:rFonts w:ascii="Times New Roman" w:hAnsi="Times New Roman" w:cs="Times New Roman"/>
          <w:color w:val="auto"/>
          <w:lang w:val="en-GB"/>
        </w:rPr>
      </w:pPr>
      <w:r>
        <w:rPr>
          <w:rFonts w:ascii="Times New Roman" w:hAnsi="Times New Roman" w:cs="Times New Roman"/>
          <w:color w:val="auto"/>
          <w:lang w:val="en-GB"/>
        </w:rPr>
        <w:lastRenderedPageBreak/>
        <w:t xml:space="preserve">Look-back study: </w:t>
      </w:r>
      <w:r w:rsidR="003E0DB2">
        <w:rPr>
          <w:rFonts w:ascii="Times New Roman" w:hAnsi="Times New Roman" w:cs="Times New Roman"/>
          <w:color w:val="auto"/>
          <w:lang w:val="en-GB"/>
        </w:rPr>
        <w:t>Evaluation methods</w:t>
      </w:r>
    </w:p>
    <w:p w:rsidR="00B06A73" w:rsidRPr="00816BFB" w:rsidRDefault="00B06A73" w:rsidP="00382F35">
      <w:pPr>
        <w:spacing w:after="0" w:line="240" w:lineRule="auto"/>
        <w:jc w:val="both"/>
        <w:rPr>
          <w:lang w:val="en-GB"/>
        </w:rPr>
      </w:pPr>
    </w:p>
    <w:p w:rsidR="00EB3DCC" w:rsidRPr="00E577F4" w:rsidRDefault="00EB3DCC" w:rsidP="00A6764D">
      <w:pPr>
        <w:pStyle w:val="ListParagraph"/>
        <w:numPr>
          <w:ilvl w:val="0"/>
          <w:numId w:val="27"/>
        </w:numPr>
        <w:spacing w:line="240" w:lineRule="auto"/>
        <w:jc w:val="both"/>
        <w:rPr>
          <w:rFonts w:ascii="Times New Roman" w:hAnsi="Times New Roman"/>
          <w:b/>
          <w:sz w:val="28"/>
          <w:szCs w:val="28"/>
          <w:lang w:val="en-GB"/>
        </w:rPr>
      </w:pPr>
      <w:r w:rsidRPr="00E577F4">
        <w:rPr>
          <w:rFonts w:ascii="Times New Roman" w:hAnsi="Times New Roman"/>
          <w:b/>
          <w:sz w:val="28"/>
          <w:szCs w:val="28"/>
          <w:lang w:val="en-GB"/>
        </w:rPr>
        <w:t xml:space="preserve">Desk research </w:t>
      </w:r>
    </w:p>
    <w:p w:rsidR="00EB3DCC" w:rsidRDefault="00EB3DCC" w:rsidP="00EB3DCC">
      <w:pPr>
        <w:pStyle w:val="ListParagraph"/>
        <w:spacing w:line="240" w:lineRule="auto"/>
        <w:ind w:left="1080"/>
        <w:jc w:val="both"/>
        <w:rPr>
          <w:rFonts w:ascii="Times New Roman" w:hAnsi="Times New Roman"/>
          <w:b/>
          <w:sz w:val="24"/>
          <w:szCs w:val="24"/>
          <w:lang w:val="en-GB"/>
        </w:rPr>
      </w:pPr>
    </w:p>
    <w:p w:rsidR="003E0DB2" w:rsidRPr="00B06A73" w:rsidRDefault="003E0DB2" w:rsidP="00A6764D">
      <w:pPr>
        <w:pStyle w:val="ListParagraph"/>
        <w:numPr>
          <w:ilvl w:val="0"/>
          <w:numId w:val="26"/>
        </w:numPr>
        <w:spacing w:after="120" w:line="240" w:lineRule="auto"/>
        <w:ind w:left="0" w:firstLine="0"/>
        <w:contextualSpacing w:val="0"/>
        <w:jc w:val="both"/>
        <w:rPr>
          <w:rFonts w:ascii="Times New Roman" w:hAnsi="Times New Roman"/>
          <w:lang w:val="en-GB"/>
        </w:rPr>
      </w:pPr>
      <w:r w:rsidRPr="00B06A73">
        <w:rPr>
          <w:rFonts w:ascii="Times New Roman" w:hAnsi="Times New Roman"/>
          <w:lang w:val="en-GB"/>
        </w:rPr>
        <w:t xml:space="preserve">Detailed review of all project reports and </w:t>
      </w:r>
      <w:r w:rsidR="00B06A73" w:rsidRPr="00B06A73">
        <w:rPr>
          <w:rFonts w:ascii="Times New Roman" w:hAnsi="Times New Roman"/>
          <w:lang w:val="en-GB"/>
        </w:rPr>
        <w:t xml:space="preserve">other </w:t>
      </w:r>
      <w:r w:rsidRPr="00B06A73">
        <w:rPr>
          <w:rFonts w:ascii="Times New Roman" w:hAnsi="Times New Roman"/>
          <w:lang w:val="en-GB"/>
        </w:rPr>
        <w:t>relevant project documentation.</w:t>
      </w:r>
    </w:p>
    <w:p w:rsidR="003E0DB2" w:rsidRPr="00B06A73" w:rsidRDefault="003E0DB2" w:rsidP="00A6764D">
      <w:pPr>
        <w:pStyle w:val="ListParagraph"/>
        <w:numPr>
          <w:ilvl w:val="0"/>
          <w:numId w:val="26"/>
        </w:numPr>
        <w:spacing w:after="120" w:line="240" w:lineRule="auto"/>
        <w:ind w:left="0" w:firstLine="0"/>
        <w:contextualSpacing w:val="0"/>
        <w:jc w:val="both"/>
        <w:rPr>
          <w:rFonts w:ascii="Times New Roman" w:hAnsi="Times New Roman"/>
          <w:lang w:val="en-GB"/>
        </w:rPr>
      </w:pPr>
      <w:r w:rsidRPr="00B06A73">
        <w:rPr>
          <w:rFonts w:ascii="Times New Roman" w:hAnsi="Times New Roman"/>
          <w:lang w:val="en-GB"/>
        </w:rPr>
        <w:t>National Water and Sanitation coverage statistics by the Joint Monitoring Progress Report (UNICEF &amp; WHO) and/or</w:t>
      </w:r>
      <w:r w:rsidR="00A6764D" w:rsidRPr="00B06A73">
        <w:rPr>
          <w:rFonts w:ascii="Times New Roman" w:hAnsi="Times New Roman"/>
          <w:lang w:val="en-GB"/>
        </w:rPr>
        <w:t xml:space="preserve"> country MDGs monitoring report</w:t>
      </w:r>
      <w:r w:rsidRPr="00B06A73">
        <w:rPr>
          <w:rFonts w:ascii="Times New Roman" w:hAnsi="Times New Roman"/>
          <w:lang w:val="en-GB"/>
        </w:rPr>
        <w:t>.</w:t>
      </w:r>
    </w:p>
    <w:p w:rsidR="00A6764D" w:rsidRPr="00B06A73" w:rsidRDefault="00A6764D" w:rsidP="00A6764D">
      <w:pPr>
        <w:pStyle w:val="ListParagraph"/>
        <w:numPr>
          <w:ilvl w:val="0"/>
          <w:numId w:val="26"/>
        </w:numPr>
        <w:spacing w:after="120" w:line="240" w:lineRule="auto"/>
        <w:ind w:left="0" w:firstLine="0"/>
        <w:contextualSpacing w:val="0"/>
        <w:jc w:val="both"/>
        <w:rPr>
          <w:rFonts w:ascii="Times New Roman" w:hAnsi="Times New Roman"/>
          <w:lang w:val="en-GB"/>
        </w:rPr>
      </w:pPr>
      <w:r w:rsidRPr="00B06A73">
        <w:rPr>
          <w:rFonts w:ascii="Times New Roman" w:hAnsi="Times New Roman"/>
          <w:lang w:val="en-GB"/>
        </w:rPr>
        <w:t>National Water Policy and other relevant policies / strategies in the area of rural and / or urban water supply, sanitation and hygiene promotion.</w:t>
      </w:r>
    </w:p>
    <w:p w:rsidR="00A6764D" w:rsidRPr="00B06A73" w:rsidRDefault="00A6764D" w:rsidP="00A6764D">
      <w:pPr>
        <w:pStyle w:val="ListParagraph"/>
        <w:numPr>
          <w:ilvl w:val="0"/>
          <w:numId w:val="26"/>
        </w:numPr>
        <w:spacing w:after="120" w:line="240" w:lineRule="auto"/>
        <w:ind w:left="0" w:firstLine="0"/>
        <w:contextualSpacing w:val="0"/>
        <w:jc w:val="both"/>
        <w:rPr>
          <w:rFonts w:ascii="Times New Roman" w:hAnsi="Times New Roman"/>
          <w:lang w:val="en-GB"/>
        </w:rPr>
      </w:pPr>
      <w:r w:rsidRPr="00B06A73">
        <w:rPr>
          <w:rFonts w:ascii="Times New Roman" w:hAnsi="Times New Roman"/>
          <w:lang w:val="en-GB"/>
        </w:rPr>
        <w:t xml:space="preserve">Any possible country technical publications from the Water Sanitation Program (WSP) – World Bank, </w:t>
      </w:r>
      <w:proofErr w:type="spellStart"/>
      <w:r w:rsidRPr="00B06A73">
        <w:rPr>
          <w:rFonts w:ascii="Times New Roman" w:hAnsi="Times New Roman"/>
          <w:lang w:val="en-GB"/>
        </w:rPr>
        <w:t>WaterAid</w:t>
      </w:r>
      <w:proofErr w:type="spellEnd"/>
      <w:r w:rsidRPr="00B06A73">
        <w:rPr>
          <w:rFonts w:ascii="Times New Roman" w:hAnsi="Times New Roman"/>
          <w:lang w:val="en-GB"/>
        </w:rPr>
        <w:t xml:space="preserve"> and UNICEF.</w:t>
      </w:r>
    </w:p>
    <w:p w:rsidR="00A6764D" w:rsidRPr="00B06A73" w:rsidRDefault="00A6764D" w:rsidP="00A6764D">
      <w:pPr>
        <w:pStyle w:val="ListParagraph"/>
        <w:numPr>
          <w:ilvl w:val="0"/>
          <w:numId w:val="26"/>
        </w:numPr>
        <w:spacing w:after="120" w:line="240" w:lineRule="auto"/>
        <w:ind w:left="0" w:firstLine="0"/>
        <w:contextualSpacing w:val="0"/>
        <w:jc w:val="both"/>
        <w:rPr>
          <w:rFonts w:ascii="Times New Roman" w:hAnsi="Times New Roman"/>
          <w:lang w:val="en-GB"/>
        </w:rPr>
      </w:pPr>
      <w:r w:rsidRPr="00B06A73">
        <w:rPr>
          <w:rFonts w:ascii="Times New Roman" w:hAnsi="Times New Roman"/>
          <w:lang w:val="en-GB"/>
        </w:rPr>
        <w:t xml:space="preserve">WatSan policy and / or strategy of the National Society. </w:t>
      </w:r>
    </w:p>
    <w:p w:rsidR="003E0DB2" w:rsidRPr="00EB3DCC" w:rsidRDefault="003E0DB2" w:rsidP="00EB3DCC">
      <w:pPr>
        <w:pStyle w:val="ListParagraph"/>
        <w:spacing w:line="240" w:lineRule="auto"/>
        <w:ind w:left="1080"/>
        <w:jc w:val="both"/>
        <w:rPr>
          <w:rFonts w:ascii="Times New Roman" w:hAnsi="Times New Roman"/>
          <w:b/>
          <w:sz w:val="24"/>
          <w:szCs w:val="24"/>
          <w:lang w:val="en-GB"/>
        </w:rPr>
      </w:pPr>
    </w:p>
    <w:p w:rsidR="00A6764D" w:rsidRPr="00E577F4" w:rsidRDefault="00A6764D" w:rsidP="00A6764D">
      <w:pPr>
        <w:pStyle w:val="ListParagraph"/>
        <w:numPr>
          <w:ilvl w:val="0"/>
          <w:numId w:val="27"/>
        </w:numPr>
        <w:spacing w:line="240" w:lineRule="auto"/>
        <w:jc w:val="both"/>
        <w:rPr>
          <w:rFonts w:ascii="Times New Roman" w:eastAsia="Times New Roman" w:hAnsi="Times New Roman"/>
          <w:b/>
          <w:sz w:val="28"/>
          <w:szCs w:val="28"/>
        </w:rPr>
      </w:pPr>
      <w:r w:rsidRPr="00E577F4">
        <w:rPr>
          <w:rFonts w:ascii="Times New Roman" w:eastAsia="Times New Roman" w:hAnsi="Times New Roman"/>
          <w:b/>
          <w:sz w:val="28"/>
          <w:szCs w:val="28"/>
        </w:rPr>
        <w:t>Household survey</w:t>
      </w:r>
    </w:p>
    <w:p w:rsidR="00A6764D" w:rsidRDefault="00A6764D" w:rsidP="00A6764D">
      <w:pPr>
        <w:pStyle w:val="ListParagraph"/>
        <w:spacing w:line="240" w:lineRule="auto"/>
        <w:jc w:val="both"/>
        <w:rPr>
          <w:rFonts w:ascii="Times New Roman" w:eastAsia="Times New Roman" w:hAnsi="Times New Roman"/>
          <w:b/>
        </w:rPr>
      </w:pPr>
    </w:p>
    <w:p w:rsidR="00E577F4" w:rsidRDefault="00E577F4" w:rsidP="00E577F4">
      <w:pPr>
        <w:pStyle w:val="ListParagraph"/>
        <w:spacing w:line="240" w:lineRule="auto"/>
        <w:ind w:left="0"/>
        <w:jc w:val="both"/>
        <w:rPr>
          <w:rFonts w:ascii="Times New Roman" w:hAnsi="Times New Roman"/>
          <w:lang w:val="en-GB"/>
        </w:rPr>
      </w:pPr>
      <w:r w:rsidRPr="00E577F4">
        <w:rPr>
          <w:rFonts w:ascii="Times New Roman" w:hAnsi="Times New Roman"/>
          <w:lang w:val="en-GB"/>
        </w:rPr>
        <w:t xml:space="preserve">A look-back household survey and direct observation can be used to gather quantitative data from households in the target communities. This may increase significantly the cost of the evaluation, but it provides fundamental data to perceive the changes occurred in the community several years after the project is concluded. </w:t>
      </w:r>
    </w:p>
    <w:p w:rsidR="00E577F4" w:rsidRDefault="00E577F4" w:rsidP="00E577F4">
      <w:pPr>
        <w:pStyle w:val="ListParagraph"/>
        <w:spacing w:line="240" w:lineRule="auto"/>
        <w:ind w:left="0"/>
        <w:jc w:val="both"/>
        <w:rPr>
          <w:rFonts w:ascii="Times New Roman" w:hAnsi="Times New Roman"/>
          <w:lang w:val="en-GB"/>
        </w:rPr>
      </w:pPr>
    </w:p>
    <w:p w:rsidR="00E577F4" w:rsidRPr="00E577F4" w:rsidRDefault="00E577F4" w:rsidP="00E577F4">
      <w:pPr>
        <w:pStyle w:val="ListParagraph"/>
        <w:spacing w:line="240" w:lineRule="auto"/>
        <w:ind w:left="0"/>
        <w:jc w:val="both"/>
        <w:rPr>
          <w:rFonts w:ascii="Times New Roman" w:hAnsi="Times New Roman"/>
          <w:lang w:val="en-GB"/>
        </w:rPr>
      </w:pPr>
      <w:r>
        <w:rPr>
          <w:rFonts w:ascii="Times New Roman" w:hAnsi="Times New Roman"/>
          <w:lang w:val="en-GB"/>
        </w:rPr>
        <w:t>The household survey questionnaire can be developed using the format of a standard KAP survey. It is worthy to emphasize that indicators on knowledge need to be accompanied by indicators on practice and this should be reflected in the questionnaire format, with direct observations / site inspections / handwashing trials / demonstrations, so evidence of practices could be spotted, and the answers from interviewees could be cross-checked by the data collectors on-site. Demonstration of the handwashing technique on-site should be included, as part of the standard methodology at all times, so the triangulation or cross-check of results can be done, and final results can be realistically interpreted.</w:t>
      </w:r>
    </w:p>
    <w:p w:rsidR="00E577F4" w:rsidRPr="00A6764D" w:rsidRDefault="00E577F4" w:rsidP="00A6764D">
      <w:pPr>
        <w:pStyle w:val="ListParagraph"/>
        <w:spacing w:line="240" w:lineRule="auto"/>
        <w:jc w:val="both"/>
        <w:rPr>
          <w:rFonts w:ascii="Times New Roman" w:eastAsia="Times New Roman" w:hAnsi="Times New Roman"/>
          <w:b/>
        </w:rPr>
      </w:pPr>
    </w:p>
    <w:p w:rsidR="00A6764D" w:rsidRPr="00E577F4" w:rsidRDefault="00A6764D" w:rsidP="00A6764D">
      <w:pPr>
        <w:pStyle w:val="ListParagraph"/>
        <w:numPr>
          <w:ilvl w:val="1"/>
          <w:numId w:val="27"/>
        </w:numPr>
        <w:spacing w:line="240" w:lineRule="auto"/>
        <w:jc w:val="both"/>
        <w:rPr>
          <w:rFonts w:ascii="Times New Roman" w:hAnsi="Times New Roman"/>
          <w:b/>
          <w:sz w:val="24"/>
          <w:szCs w:val="24"/>
          <w:lang w:val="en-GB"/>
        </w:rPr>
      </w:pPr>
      <w:r w:rsidRPr="00E577F4">
        <w:rPr>
          <w:rFonts w:ascii="Times New Roman" w:hAnsi="Times New Roman"/>
          <w:b/>
          <w:sz w:val="24"/>
          <w:szCs w:val="24"/>
          <w:lang w:val="en-GB"/>
        </w:rPr>
        <w:t xml:space="preserve">Case 1: </w:t>
      </w:r>
      <w:r w:rsidR="008F5C36" w:rsidRPr="00E577F4">
        <w:rPr>
          <w:rFonts w:ascii="Times New Roman" w:hAnsi="Times New Roman"/>
          <w:b/>
          <w:sz w:val="24"/>
          <w:szCs w:val="24"/>
          <w:lang w:val="en-GB"/>
        </w:rPr>
        <w:t>Baseline and end-line survey reports are available</w:t>
      </w:r>
    </w:p>
    <w:p w:rsidR="00A6764D" w:rsidRDefault="00A6764D" w:rsidP="00A6764D">
      <w:pPr>
        <w:pStyle w:val="ListParagraph"/>
        <w:spacing w:line="240" w:lineRule="auto"/>
        <w:ind w:left="0"/>
        <w:jc w:val="both"/>
        <w:rPr>
          <w:rFonts w:ascii="Times New Roman" w:hAnsi="Times New Roman"/>
          <w:sz w:val="24"/>
          <w:szCs w:val="24"/>
          <w:lang w:val="en-GB"/>
        </w:rPr>
      </w:pPr>
    </w:p>
    <w:p w:rsidR="00B06A73" w:rsidRDefault="008F5C36" w:rsidP="00B06A73">
      <w:pPr>
        <w:pStyle w:val="ListParagraph"/>
        <w:numPr>
          <w:ilvl w:val="0"/>
          <w:numId w:val="28"/>
        </w:numPr>
        <w:spacing w:after="120" w:line="240" w:lineRule="auto"/>
        <w:ind w:left="0" w:firstLine="0"/>
        <w:contextualSpacing w:val="0"/>
        <w:jc w:val="both"/>
        <w:rPr>
          <w:rFonts w:ascii="Times New Roman" w:hAnsi="Times New Roman"/>
          <w:lang w:val="en-GB"/>
        </w:rPr>
      </w:pPr>
      <w:r w:rsidRPr="00B06A73">
        <w:rPr>
          <w:rFonts w:ascii="Times New Roman" w:hAnsi="Times New Roman"/>
          <w:lang w:val="en-GB"/>
        </w:rPr>
        <w:t>When a baseline and end-line survey reports are available, a</w:t>
      </w:r>
      <w:r w:rsidR="00A6764D" w:rsidRPr="00B06A73">
        <w:rPr>
          <w:rFonts w:ascii="Times New Roman" w:hAnsi="Times New Roman"/>
          <w:lang w:val="en-GB"/>
        </w:rPr>
        <w:t xml:space="preserve"> </w:t>
      </w:r>
      <w:r w:rsidR="00A6764D" w:rsidRPr="00B06A73">
        <w:rPr>
          <w:rFonts w:ascii="Times New Roman" w:hAnsi="Times New Roman"/>
          <w:b/>
          <w:lang w:val="en-GB"/>
        </w:rPr>
        <w:t>‘before' vs. ‘after' analysis</w:t>
      </w:r>
      <w:r w:rsidR="00A6764D" w:rsidRPr="00B06A73">
        <w:rPr>
          <w:rFonts w:ascii="Times New Roman" w:hAnsi="Times New Roman"/>
          <w:lang w:val="en-GB"/>
        </w:rPr>
        <w:t xml:space="preserve"> </w:t>
      </w:r>
      <w:r w:rsidRPr="00B06A73">
        <w:rPr>
          <w:rFonts w:ascii="Times New Roman" w:hAnsi="Times New Roman"/>
          <w:lang w:val="en-GB"/>
        </w:rPr>
        <w:t>would be</w:t>
      </w:r>
      <w:r w:rsidR="00A6764D" w:rsidRPr="00B06A73">
        <w:rPr>
          <w:rFonts w:ascii="Times New Roman" w:hAnsi="Times New Roman"/>
          <w:lang w:val="en-GB"/>
        </w:rPr>
        <w:t xml:space="preserve"> the approach to follow. </w:t>
      </w:r>
      <w:r w:rsidRPr="00B06A73">
        <w:rPr>
          <w:rFonts w:ascii="Times New Roman" w:hAnsi="Times New Roman"/>
          <w:lang w:val="en-GB"/>
        </w:rPr>
        <w:t>In that case, a</w:t>
      </w:r>
      <w:r w:rsidR="00A6764D" w:rsidRPr="00B06A73">
        <w:rPr>
          <w:rFonts w:ascii="Times New Roman" w:hAnsi="Times New Roman"/>
          <w:lang w:val="en-GB"/>
        </w:rPr>
        <w:t xml:space="preserve"> post-intervention or look-back survey in the form of a household survey </w:t>
      </w:r>
      <w:r w:rsidRPr="00B06A73">
        <w:rPr>
          <w:rFonts w:ascii="Times New Roman" w:hAnsi="Times New Roman"/>
          <w:lang w:val="en-GB"/>
        </w:rPr>
        <w:t>should</w:t>
      </w:r>
      <w:r w:rsidR="00A6764D" w:rsidRPr="00B06A73">
        <w:rPr>
          <w:rFonts w:ascii="Times New Roman" w:hAnsi="Times New Roman"/>
          <w:lang w:val="en-GB"/>
        </w:rPr>
        <w:t xml:space="preserve"> be conducted as an extension of the two previous surveys</w:t>
      </w:r>
      <w:r w:rsidRPr="00B06A73">
        <w:rPr>
          <w:rFonts w:ascii="Times New Roman" w:hAnsi="Times New Roman"/>
          <w:lang w:val="en-GB"/>
        </w:rPr>
        <w:t>, using the same questionnaire</w:t>
      </w:r>
      <w:r w:rsidR="00B06A73">
        <w:rPr>
          <w:rFonts w:ascii="Times New Roman" w:hAnsi="Times New Roman"/>
          <w:lang w:val="en-GB"/>
        </w:rPr>
        <w:t>, indicators and measurement methodologies</w:t>
      </w:r>
      <w:r w:rsidR="00A6764D" w:rsidRPr="00B06A73">
        <w:rPr>
          <w:rFonts w:ascii="Times New Roman" w:hAnsi="Times New Roman"/>
          <w:lang w:val="en-GB"/>
        </w:rPr>
        <w:t xml:space="preserve">. This will provide fundamental data to perceive the changes occurred in the communities </w:t>
      </w:r>
      <w:r w:rsidR="00B06A73" w:rsidRPr="00B06A73">
        <w:rPr>
          <w:rFonts w:ascii="Times New Roman" w:hAnsi="Times New Roman"/>
          <w:lang w:val="en-GB"/>
        </w:rPr>
        <w:t>several</w:t>
      </w:r>
      <w:r w:rsidR="00A6764D" w:rsidRPr="00B06A73">
        <w:rPr>
          <w:rFonts w:ascii="Times New Roman" w:hAnsi="Times New Roman"/>
          <w:lang w:val="en-GB"/>
        </w:rPr>
        <w:t xml:space="preserve"> years after the project concluded. </w:t>
      </w:r>
    </w:p>
    <w:p w:rsidR="00B06A73" w:rsidRDefault="00B06A73" w:rsidP="00B06A73">
      <w:pPr>
        <w:pStyle w:val="ListParagraph"/>
        <w:numPr>
          <w:ilvl w:val="0"/>
          <w:numId w:val="28"/>
        </w:numPr>
        <w:spacing w:after="120" w:line="240" w:lineRule="auto"/>
        <w:ind w:left="0" w:firstLine="0"/>
        <w:contextualSpacing w:val="0"/>
        <w:jc w:val="both"/>
        <w:rPr>
          <w:rFonts w:ascii="Times New Roman" w:hAnsi="Times New Roman"/>
          <w:lang w:val="en-GB"/>
        </w:rPr>
      </w:pPr>
      <w:r w:rsidRPr="00B06A73">
        <w:rPr>
          <w:rFonts w:ascii="Times New Roman" w:hAnsi="Times New Roman"/>
          <w:lang w:val="en-GB"/>
        </w:rPr>
        <w:t>The National Society can be the leading</w:t>
      </w:r>
      <w:r w:rsidR="00A6764D" w:rsidRPr="00B06A73">
        <w:rPr>
          <w:rFonts w:ascii="Times New Roman" w:hAnsi="Times New Roman"/>
          <w:lang w:val="en-GB"/>
        </w:rPr>
        <w:t xml:space="preserve"> partner in this activity providing enumerators and organizing the logistic of the field activities. Training of enumerators, technical supervision of field activities and final data analysis </w:t>
      </w:r>
      <w:r w:rsidRPr="00B06A73">
        <w:rPr>
          <w:rFonts w:ascii="Times New Roman" w:hAnsi="Times New Roman"/>
          <w:lang w:val="en-GB"/>
        </w:rPr>
        <w:t>can</w:t>
      </w:r>
      <w:r w:rsidR="00A6764D" w:rsidRPr="00B06A73">
        <w:rPr>
          <w:rFonts w:ascii="Times New Roman" w:hAnsi="Times New Roman"/>
          <w:lang w:val="en-GB"/>
        </w:rPr>
        <w:t xml:space="preserve"> be faci</w:t>
      </w:r>
      <w:r>
        <w:rPr>
          <w:rFonts w:ascii="Times New Roman" w:hAnsi="Times New Roman"/>
          <w:lang w:val="en-GB"/>
        </w:rPr>
        <w:t>litated by the evaluation team to keep consistency and ensure the quality in the data gathering process.</w:t>
      </w:r>
    </w:p>
    <w:p w:rsidR="00E577F4" w:rsidRPr="00B06A73" w:rsidRDefault="00E577F4" w:rsidP="00E577F4">
      <w:pPr>
        <w:pStyle w:val="ListParagraph"/>
        <w:spacing w:after="120" w:line="240" w:lineRule="auto"/>
        <w:ind w:left="0"/>
        <w:contextualSpacing w:val="0"/>
        <w:jc w:val="both"/>
        <w:rPr>
          <w:rFonts w:ascii="Times New Roman" w:hAnsi="Times New Roman"/>
          <w:lang w:val="en-GB"/>
        </w:rPr>
      </w:pPr>
    </w:p>
    <w:p w:rsidR="00B06A73" w:rsidRDefault="00B06A73" w:rsidP="00E577F4">
      <w:pPr>
        <w:pStyle w:val="ListParagraph"/>
        <w:numPr>
          <w:ilvl w:val="1"/>
          <w:numId w:val="27"/>
        </w:numPr>
        <w:spacing w:line="240" w:lineRule="auto"/>
        <w:jc w:val="both"/>
        <w:rPr>
          <w:rFonts w:ascii="Times New Roman" w:hAnsi="Times New Roman"/>
          <w:b/>
          <w:sz w:val="24"/>
          <w:szCs w:val="24"/>
          <w:lang w:val="en-GB"/>
        </w:rPr>
      </w:pPr>
      <w:r w:rsidRPr="00E577F4">
        <w:rPr>
          <w:rFonts w:ascii="Times New Roman" w:hAnsi="Times New Roman"/>
          <w:b/>
          <w:sz w:val="24"/>
          <w:szCs w:val="24"/>
          <w:lang w:val="en-GB"/>
        </w:rPr>
        <w:t>Case 2: Baseline and end-line survey reports are not available</w:t>
      </w:r>
    </w:p>
    <w:p w:rsidR="00E577F4" w:rsidRPr="00E577F4" w:rsidRDefault="00E577F4" w:rsidP="00E577F4">
      <w:pPr>
        <w:pStyle w:val="ListParagraph"/>
        <w:spacing w:line="240" w:lineRule="auto"/>
        <w:jc w:val="both"/>
        <w:rPr>
          <w:rFonts w:ascii="Times New Roman" w:hAnsi="Times New Roman"/>
          <w:b/>
          <w:sz w:val="24"/>
          <w:szCs w:val="24"/>
          <w:lang w:val="en-GB"/>
        </w:rPr>
      </w:pPr>
    </w:p>
    <w:p w:rsidR="00B06A73" w:rsidRPr="00B06A73" w:rsidRDefault="00B06A73" w:rsidP="00B06A73">
      <w:pPr>
        <w:pStyle w:val="ListParagraph"/>
        <w:numPr>
          <w:ilvl w:val="0"/>
          <w:numId w:val="28"/>
        </w:numPr>
        <w:spacing w:line="240" w:lineRule="auto"/>
        <w:ind w:left="0" w:firstLine="0"/>
        <w:jc w:val="both"/>
        <w:rPr>
          <w:rFonts w:ascii="Times New Roman" w:hAnsi="Times New Roman"/>
          <w:lang w:val="en-GB"/>
        </w:rPr>
      </w:pPr>
      <w:r w:rsidRPr="00B06A73">
        <w:rPr>
          <w:rFonts w:ascii="Times New Roman" w:hAnsi="Times New Roman"/>
          <w:lang w:val="en-GB"/>
        </w:rPr>
        <w:t xml:space="preserve">When a baseline and end-line survey reports are </w:t>
      </w:r>
      <w:r w:rsidR="00E577F4">
        <w:rPr>
          <w:rFonts w:ascii="Times New Roman" w:hAnsi="Times New Roman"/>
          <w:lang w:val="en-GB"/>
        </w:rPr>
        <w:t xml:space="preserve">not </w:t>
      </w:r>
      <w:r w:rsidRPr="00B06A73">
        <w:rPr>
          <w:rFonts w:ascii="Times New Roman" w:hAnsi="Times New Roman"/>
          <w:lang w:val="en-GB"/>
        </w:rPr>
        <w:t xml:space="preserve">available, </w:t>
      </w:r>
      <w:r w:rsidR="00E577F4">
        <w:rPr>
          <w:rFonts w:ascii="Times New Roman" w:hAnsi="Times New Roman"/>
          <w:lang w:val="en-GB"/>
        </w:rPr>
        <w:t xml:space="preserve">there is a crucial limitation related to attribution: the further the evaluator moves from the time of the intervention, the more difficult it is to determine whether changes that have taken place are the result of the intervention or of some other factor, such as other interventions, or socioeconomic or political forces. To help to deal with this issue, a </w:t>
      </w:r>
      <w:r w:rsidR="00E577F4">
        <w:rPr>
          <w:rFonts w:ascii="Times New Roman" w:hAnsi="Times New Roman"/>
          <w:lang w:val="en-GB"/>
        </w:rPr>
        <w:lastRenderedPageBreak/>
        <w:t xml:space="preserve">counterfactual or </w:t>
      </w:r>
      <w:r w:rsidR="00E577F4" w:rsidRPr="00E577F4">
        <w:rPr>
          <w:rFonts w:ascii="Times New Roman" w:hAnsi="Times New Roman"/>
          <w:b/>
          <w:lang w:val="en-GB"/>
        </w:rPr>
        <w:t>‘with vs. without' analysis</w:t>
      </w:r>
      <w:r w:rsidR="00E577F4">
        <w:rPr>
          <w:rFonts w:ascii="Times New Roman" w:hAnsi="Times New Roman"/>
          <w:lang w:val="en-GB"/>
        </w:rPr>
        <w:t>, where a comparison group in the same target area that have not received assistance can be observed and interviewed, would be the best approach.</w:t>
      </w:r>
    </w:p>
    <w:p w:rsidR="00B06A73" w:rsidRPr="00B06A73" w:rsidRDefault="00B06A73" w:rsidP="00B06A73">
      <w:pPr>
        <w:pStyle w:val="ListParagraph"/>
        <w:spacing w:line="240" w:lineRule="auto"/>
        <w:ind w:left="0"/>
        <w:jc w:val="both"/>
        <w:rPr>
          <w:rFonts w:ascii="Times New Roman" w:hAnsi="Times New Roman"/>
          <w:lang w:val="en-GB"/>
        </w:rPr>
      </w:pPr>
    </w:p>
    <w:p w:rsidR="00E577F4" w:rsidRDefault="00E577F4" w:rsidP="00E577F4">
      <w:pPr>
        <w:pStyle w:val="ListParagraph"/>
        <w:numPr>
          <w:ilvl w:val="1"/>
          <w:numId w:val="22"/>
        </w:numPr>
        <w:spacing w:after="120" w:line="240" w:lineRule="auto"/>
        <w:ind w:left="0" w:firstLine="0"/>
        <w:contextualSpacing w:val="0"/>
        <w:jc w:val="both"/>
        <w:rPr>
          <w:rFonts w:ascii="Times New Roman" w:hAnsi="Times New Roman"/>
          <w:lang w:val="en-GB"/>
        </w:rPr>
      </w:pPr>
      <w:r>
        <w:rPr>
          <w:rFonts w:ascii="Times New Roman" w:hAnsi="Times New Roman"/>
          <w:lang w:val="en-GB"/>
        </w:rPr>
        <w:t xml:space="preserve">The look-back survey should collect therefore data from a (non-equivalent) </w:t>
      </w:r>
      <w:r w:rsidRPr="00A35B80">
        <w:rPr>
          <w:rFonts w:ascii="Times New Roman" w:hAnsi="Times New Roman"/>
          <w:b/>
          <w:lang w:val="en-GB"/>
        </w:rPr>
        <w:t xml:space="preserve">comparison </w:t>
      </w:r>
      <w:r w:rsidR="00A35B80" w:rsidRPr="00A35B80">
        <w:rPr>
          <w:rFonts w:ascii="Times New Roman" w:hAnsi="Times New Roman"/>
          <w:b/>
          <w:lang w:val="en-GB"/>
        </w:rPr>
        <w:t xml:space="preserve">or control </w:t>
      </w:r>
      <w:r w:rsidRPr="00A35B80">
        <w:rPr>
          <w:rFonts w:ascii="Times New Roman" w:hAnsi="Times New Roman"/>
          <w:b/>
          <w:lang w:val="en-GB"/>
        </w:rPr>
        <w:t>group</w:t>
      </w:r>
      <w:r>
        <w:rPr>
          <w:rFonts w:ascii="Times New Roman" w:hAnsi="Times New Roman"/>
          <w:lang w:val="en-GB"/>
        </w:rPr>
        <w:t xml:space="preserve"> in each district</w:t>
      </w:r>
      <w:r w:rsidR="00A35B80">
        <w:rPr>
          <w:rFonts w:ascii="Times New Roman" w:hAnsi="Times New Roman"/>
          <w:lang w:val="en-GB"/>
        </w:rPr>
        <w:t xml:space="preserve"> for example</w:t>
      </w:r>
      <w:r>
        <w:rPr>
          <w:rFonts w:ascii="Times New Roman" w:hAnsi="Times New Roman"/>
          <w:lang w:val="en-GB"/>
        </w:rPr>
        <w:t>, which matche</w:t>
      </w:r>
      <w:r w:rsidR="00A35B80">
        <w:rPr>
          <w:rFonts w:ascii="Times New Roman" w:hAnsi="Times New Roman"/>
          <w:lang w:val="en-GB"/>
        </w:rPr>
        <w:t>s</w:t>
      </w:r>
      <w:r>
        <w:rPr>
          <w:rFonts w:ascii="Times New Roman" w:hAnsi="Times New Roman"/>
          <w:lang w:val="en-GB"/>
        </w:rPr>
        <w:t xml:space="preserve"> the characteristics of the project group as closely as possible, except that it has not been subject to the intervention. </w:t>
      </w:r>
      <w:r w:rsidR="00486FE6">
        <w:rPr>
          <w:rFonts w:ascii="Times New Roman" w:hAnsi="Times New Roman"/>
          <w:lang w:val="en-GB"/>
        </w:rPr>
        <w:t xml:space="preserve">An example of an extensive household survey questionnaire is in </w:t>
      </w:r>
      <w:r w:rsidR="00486FE6" w:rsidRPr="00486FE6">
        <w:rPr>
          <w:rFonts w:ascii="Times New Roman" w:hAnsi="Times New Roman"/>
          <w:b/>
          <w:i/>
          <w:lang w:val="en-GB"/>
        </w:rPr>
        <w:t>Annex 1</w:t>
      </w:r>
      <w:r w:rsidR="00486FE6">
        <w:rPr>
          <w:rFonts w:ascii="Times New Roman" w:hAnsi="Times New Roman"/>
          <w:lang w:val="en-GB"/>
        </w:rPr>
        <w:t>.</w:t>
      </w:r>
    </w:p>
    <w:p w:rsidR="00E577F4" w:rsidRPr="00A35B80" w:rsidRDefault="00E577F4" w:rsidP="00E577F4">
      <w:pPr>
        <w:pStyle w:val="ListParagraph"/>
        <w:numPr>
          <w:ilvl w:val="1"/>
          <w:numId w:val="22"/>
        </w:numPr>
        <w:spacing w:after="120" w:line="240" w:lineRule="auto"/>
        <w:ind w:left="0" w:firstLine="0"/>
        <w:contextualSpacing w:val="0"/>
        <w:jc w:val="both"/>
        <w:rPr>
          <w:rFonts w:ascii="Times New Roman" w:hAnsi="Times New Roman"/>
          <w:lang w:val="en-GB"/>
        </w:rPr>
      </w:pPr>
      <w:r w:rsidRPr="00A35B80">
        <w:rPr>
          <w:rFonts w:ascii="Times New Roman" w:hAnsi="Times New Roman"/>
          <w:lang w:val="en-GB"/>
        </w:rPr>
        <w:t xml:space="preserve">Issues around raising expectations in the control communities, selection bias (the comparison group is drawn from a different population than the treatment group) and contagion (the comparison group is affected by the intervention or a similar intervention by another agency) </w:t>
      </w:r>
      <w:r w:rsidR="00A35B80" w:rsidRPr="00A35B80">
        <w:rPr>
          <w:rFonts w:ascii="Times New Roman" w:hAnsi="Times New Roman"/>
          <w:lang w:val="en-GB"/>
        </w:rPr>
        <w:t>need to be</w:t>
      </w:r>
      <w:r w:rsidRPr="00A35B80">
        <w:rPr>
          <w:rFonts w:ascii="Times New Roman" w:hAnsi="Times New Roman"/>
          <w:lang w:val="en-GB"/>
        </w:rPr>
        <w:t xml:space="preserve"> properly addressed. In general, the introduction of the control </w:t>
      </w:r>
      <w:r w:rsidR="00A35B80" w:rsidRPr="00A35B80">
        <w:rPr>
          <w:rFonts w:ascii="Times New Roman" w:hAnsi="Times New Roman"/>
          <w:lang w:val="en-GB"/>
        </w:rPr>
        <w:t>group in the survey design adds</w:t>
      </w:r>
      <w:r w:rsidRPr="00A35B80">
        <w:rPr>
          <w:rFonts w:ascii="Times New Roman" w:hAnsi="Times New Roman"/>
          <w:lang w:val="en-GB"/>
        </w:rPr>
        <w:t xml:space="preserve"> a great level of complexity to the study (it increased </w:t>
      </w:r>
      <w:r w:rsidR="00A35B80" w:rsidRPr="00A35B80">
        <w:rPr>
          <w:rFonts w:ascii="Times New Roman" w:hAnsi="Times New Roman"/>
          <w:lang w:val="en-GB"/>
        </w:rPr>
        <w:t>significantly the sample, adds</w:t>
      </w:r>
      <w:r w:rsidRPr="00A35B80">
        <w:rPr>
          <w:rFonts w:ascii="Times New Roman" w:hAnsi="Times New Roman"/>
          <w:lang w:val="en-GB"/>
        </w:rPr>
        <w:t xml:space="preserve"> more cost and complexity to the logistics of the field exercise).</w:t>
      </w:r>
    </w:p>
    <w:p w:rsidR="00B06A73" w:rsidRPr="00B06A73" w:rsidRDefault="00B06A73" w:rsidP="00B06A73">
      <w:pPr>
        <w:pStyle w:val="ListParagraph"/>
        <w:spacing w:line="240" w:lineRule="auto"/>
        <w:ind w:left="0"/>
        <w:jc w:val="both"/>
        <w:rPr>
          <w:rFonts w:ascii="Times New Roman" w:hAnsi="Times New Roman"/>
          <w:lang w:val="en-GB"/>
        </w:rPr>
      </w:pPr>
    </w:p>
    <w:p w:rsidR="00A35B80" w:rsidRPr="00A35B80" w:rsidRDefault="00A35B80" w:rsidP="00A35B80">
      <w:pPr>
        <w:pStyle w:val="ListParagraph"/>
        <w:numPr>
          <w:ilvl w:val="0"/>
          <w:numId w:val="27"/>
        </w:num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FGD and Interviews</w:t>
      </w:r>
    </w:p>
    <w:p w:rsidR="00A35B80" w:rsidRDefault="00A35B80" w:rsidP="00A35B80">
      <w:pPr>
        <w:pStyle w:val="ListParagraph"/>
        <w:spacing w:line="240" w:lineRule="auto"/>
        <w:ind w:left="0"/>
        <w:jc w:val="both"/>
        <w:rPr>
          <w:rFonts w:ascii="Times New Roman" w:eastAsiaTheme="minorHAnsi" w:hAnsi="Times New Roman" w:cstheme="minorBidi"/>
          <w:lang w:eastAsia="en-US"/>
        </w:rPr>
      </w:pPr>
    </w:p>
    <w:p w:rsidR="00A6764D" w:rsidRDefault="00A6764D" w:rsidP="00A35B80">
      <w:pPr>
        <w:pStyle w:val="ListParagraph"/>
        <w:spacing w:line="240" w:lineRule="auto"/>
        <w:ind w:left="0"/>
        <w:jc w:val="both"/>
        <w:rPr>
          <w:rFonts w:ascii="Times New Roman" w:hAnsi="Times New Roman"/>
          <w:lang w:val="en-GB"/>
        </w:rPr>
      </w:pPr>
      <w:r w:rsidRPr="00B06A73">
        <w:rPr>
          <w:rFonts w:ascii="Times New Roman" w:hAnsi="Times New Roman"/>
          <w:lang w:val="en-GB"/>
        </w:rPr>
        <w:t xml:space="preserve">In addition to the household interviews, a combination of quantitative and qualitative data will be gathered through different tools such as direct observation, FGDs, key informant interviews and any other relevant participatory tool such as community map, voting chart, etc. This </w:t>
      </w:r>
      <w:r w:rsidR="00A35B80">
        <w:rPr>
          <w:rFonts w:ascii="Times New Roman" w:hAnsi="Times New Roman"/>
          <w:lang w:val="en-GB"/>
        </w:rPr>
        <w:t>should</w:t>
      </w:r>
      <w:r w:rsidRPr="00B06A73">
        <w:rPr>
          <w:rFonts w:ascii="Times New Roman" w:hAnsi="Times New Roman"/>
          <w:lang w:val="en-GB"/>
        </w:rPr>
        <w:t xml:space="preserve"> be facilitated by the evaluation team in close collaboration with </w:t>
      </w:r>
      <w:r w:rsidR="00A35B80">
        <w:rPr>
          <w:rFonts w:ascii="Times New Roman" w:hAnsi="Times New Roman"/>
          <w:lang w:val="en-GB"/>
        </w:rPr>
        <w:t>the NS</w:t>
      </w:r>
      <w:r w:rsidRPr="00B06A73">
        <w:rPr>
          <w:rFonts w:ascii="Times New Roman" w:hAnsi="Times New Roman"/>
          <w:lang w:val="en-GB"/>
        </w:rPr>
        <w:t xml:space="preserve"> volunteers and staff.</w:t>
      </w:r>
    </w:p>
    <w:p w:rsidR="00A35B80" w:rsidRPr="00B06A73" w:rsidRDefault="00A35B80" w:rsidP="00A35B80">
      <w:pPr>
        <w:pStyle w:val="ListParagraph"/>
        <w:spacing w:line="240" w:lineRule="auto"/>
        <w:ind w:left="0"/>
        <w:jc w:val="both"/>
        <w:rPr>
          <w:rFonts w:ascii="Times New Roman" w:hAnsi="Times New Roman"/>
          <w:lang w:val="en-GB"/>
        </w:rPr>
      </w:pPr>
    </w:p>
    <w:p w:rsidR="006F5938" w:rsidRDefault="00A35B80" w:rsidP="006F5938">
      <w:pPr>
        <w:pStyle w:val="ListParagraph"/>
        <w:numPr>
          <w:ilvl w:val="0"/>
          <w:numId w:val="31"/>
        </w:numPr>
        <w:spacing w:after="120" w:line="240" w:lineRule="auto"/>
        <w:ind w:left="0" w:firstLine="0"/>
        <w:contextualSpacing w:val="0"/>
        <w:jc w:val="both"/>
        <w:rPr>
          <w:rFonts w:ascii="Times New Roman" w:eastAsia="Times New Roman" w:hAnsi="Times New Roman"/>
        </w:rPr>
      </w:pPr>
      <w:r w:rsidRPr="00A35B80">
        <w:rPr>
          <w:rFonts w:ascii="Times New Roman" w:eastAsia="Times New Roman" w:hAnsi="Times New Roman"/>
        </w:rPr>
        <w:t xml:space="preserve">Face-to-face interviews to </w:t>
      </w:r>
      <w:r>
        <w:rPr>
          <w:rFonts w:ascii="Times New Roman" w:eastAsia="Times New Roman" w:hAnsi="Times New Roman"/>
        </w:rPr>
        <w:t xml:space="preserve">key stakeholders in the project such as </w:t>
      </w:r>
      <w:r w:rsidRPr="00A35B80">
        <w:rPr>
          <w:rFonts w:ascii="Times New Roman" w:eastAsia="Times New Roman" w:hAnsi="Times New Roman"/>
        </w:rPr>
        <w:t xml:space="preserve">local authorities, hand pump mechanics, latrine builders, environmental health technicians, nurses, school masters, </w:t>
      </w:r>
      <w:r>
        <w:rPr>
          <w:rFonts w:ascii="Times New Roman" w:eastAsia="Times New Roman" w:hAnsi="Times New Roman"/>
        </w:rPr>
        <w:t>community leade</w:t>
      </w:r>
      <w:r w:rsidR="006F5938">
        <w:rPr>
          <w:rFonts w:ascii="Times New Roman" w:eastAsia="Times New Roman" w:hAnsi="Times New Roman"/>
        </w:rPr>
        <w:t>r</w:t>
      </w:r>
      <w:r>
        <w:rPr>
          <w:rFonts w:ascii="Times New Roman" w:eastAsia="Times New Roman" w:hAnsi="Times New Roman"/>
        </w:rPr>
        <w:t xml:space="preserve">s, Water Point Committee chairperson, </w:t>
      </w:r>
      <w:r w:rsidRPr="00A35B80">
        <w:rPr>
          <w:rFonts w:ascii="Times New Roman" w:eastAsia="Times New Roman" w:hAnsi="Times New Roman"/>
        </w:rPr>
        <w:t xml:space="preserve">etc. involved in the project </w:t>
      </w:r>
      <w:r w:rsidR="006F5938">
        <w:rPr>
          <w:rFonts w:ascii="Times New Roman" w:eastAsia="Times New Roman" w:hAnsi="Times New Roman"/>
        </w:rPr>
        <w:t>should</w:t>
      </w:r>
      <w:r w:rsidRPr="00A35B80">
        <w:rPr>
          <w:rFonts w:ascii="Times New Roman" w:eastAsia="Times New Roman" w:hAnsi="Times New Roman"/>
        </w:rPr>
        <w:t xml:space="preserve"> interviewed. </w:t>
      </w:r>
    </w:p>
    <w:p w:rsidR="00A35B80" w:rsidRPr="006F5938" w:rsidRDefault="00A35B80" w:rsidP="006F5938">
      <w:pPr>
        <w:pStyle w:val="ListParagraph"/>
        <w:numPr>
          <w:ilvl w:val="0"/>
          <w:numId w:val="31"/>
        </w:numPr>
        <w:spacing w:after="120" w:line="240" w:lineRule="auto"/>
        <w:ind w:left="0" w:firstLine="0"/>
        <w:contextualSpacing w:val="0"/>
        <w:jc w:val="both"/>
        <w:rPr>
          <w:rFonts w:ascii="Times New Roman" w:eastAsia="Times New Roman" w:hAnsi="Times New Roman"/>
        </w:rPr>
      </w:pPr>
      <w:r w:rsidRPr="00A35B80">
        <w:rPr>
          <w:rFonts w:ascii="Times New Roman" w:eastAsia="Times New Roman" w:hAnsi="Times New Roman"/>
        </w:rPr>
        <w:t xml:space="preserve">Focus Group Discussion </w:t>
      </w:r>
      <w:r w:rsidR="006F5938">
        <w:rPr>
          <w:rFonts w:ascii="Times New Roman" w:eastAsia="Times New Roman" w:hAnsi="Times New Roman"/>
        </w:rPr>
        <w:t>should be</w:t>
      </w:r>
      <w:r w:rsidRPr="00A35B80">
        <w:rPr>
          <w:rFonts w:ascii="Times New Roman" w:eastAsia="Times New Roman" w:hAnsi="Times New Roman"/>
        </w:rPr>
        <w:t xml:space="preserve"> used to obtain qualitative information from beneficiaries, including community leaders, women, general population, PHAST groups, members of the WPC</w:t>
      </w:r>
      <w:r w:rsidR="006F5938">
        <w:rPr>
          <w:rFonts w:ascii="Times New Roman" w:eastAsia="Times New Roman" w:hAnsi="Times New Roman"/>
        </w:rPr>
        <w:t xml:space="preserve">, </w:t>
      </w:r>
      <w:r w:rsidRPr="00A35B80">
        <w:rPr>
          <w:rFonts w:ascii="Times New Roman" w:eastAsia="Times New Roman" w:hAnsi="Times New Roman"/>
        </w:rPr>
        <w:t>pupils in schools</w:t>
      </w:r>
      <w:r w:rsidR="006F5938">
        <w:rPr>
          <w:rFonts w:ascii="Times New Roman" w:eastAsia="Times New Roman" w:hAnsi="Times New Roman"/>
        </w:rPr>
        <w:t>, teachers, etc.</w:t>
      </w:r>
    </w:p>
    <w:p w:rsidR="00A35B80" w:rsidRPr="00D4428C" w:rsidRDefault="00A35B80" w:rsidP="006F5938">
      <w:pPr>
        <w:pStyle w:val="ListParagraph"/>
        <w:numPr>
          <w:ilvl w:val="0"/>
          <w:numId w:val="31"/>
        </w:numPr>
        <w:spacing w:after="120" w:line="240" w:lineRule="auto"/>
        <w:ind w:left="0" w:firstLine="0"/>
        <w:contextualSpacing w:val="0"/>
        <w:jc w:val="both"/>
        <w:rPr>
          <w:rFonts w:ascii="Times New Roman" w:eastAsia="Times New Roman" w:hAnsi="Times New Roman"/>
          <w:b/>
          <w:i/>
        </w:rPr>
      </w:pPr>
      <w:r w:rsidRPr="00A35B80">
        <w:rPr>
          <w:rFonts w:ascii="Times New Roman" w:eastAsia="Times New Roman" w:hAnsi="Times New Roman"/>
        </w:rPr>
        <w:t xml:space="preserve">To better structure the interview and FGD processes, detailed guides for all relevant interviewees and groups </w:t>
      </w:r>
      <w:r w:rsidR="006F5938">
        <w:rPr>
          <w:rFonts w:ascii="Times New Roman" w:eastAsia="Times New Roman" w:hAnsi="Times New Roman"/>
        </w:rPr>
        <w:t>should be</w:t>
      </w:r>
      <w:r w:rsidRPr="00A35B80">
        <w:rPr>
          <w:rFonts w:ascii="Times New Roman" w:eastAsia="Times New Roman" w:hAnsi="Times New Roman"/>
        </w:rPr>
        <w:t xml:space="preserve"> developed beforehand based on the questions provided in the ToR and the interview guides provided by the standard ´look-back' methodology. Factual information from interviews and FGD </w:t>
      </w:r>
      <w:r w:rsidR="006F5938">
        <w:rPr>
          <w:rFonts w:ascii="Times New Roman" w:eastAsia="Times New Roman" w:hAnsi="Times New Roman"/>
        </w:rPr>
        <w:t>should be</w:t>
      </w:r>
      <w:r w:rsidRPr="00A35B80">
        <w:rPr>
          <w:rFonts w:ascii="Times New Roman" w:eastAsia="Times New Roman" w:hAnsi="Times New Roman"/>
        </w:rPr>
        <w:t xml:space="preserve"> triangulated with other sources and methods such as household survey, direct observation (transect walks and site inspections), and inventory. </w:t>
      </w:r>
      <w:r w:rsidR="00D4428C">
        <w:rPr>
          <w:rFonts w:ascii="Times New Roman" w:eastAsia="Times New Roman" w:hAnsi="Times New Roman"/>
        </w:rPr>
        <w:t xml:space="preserve">Examples of interview and FGD guides can be found in </w:t>
      </w:r>
      <w:r w:rsidR="00D4428C" w:rsidRPr="00D4428C">
        <w:rPr>
          <w:rFonts w:ascii="Times New Roman" w:eastAsia="Times New Roman" w:hAnsi="Times New Roman"/>
          <w:b/>
          <w:i/>
        </w:rPr>
        <w:t>Annex 2.</w:t>
      </w:r>
    </w:p>
    <w:p w:rsidR="006F5938" w:rsidRDefault="006F5938" w:rsidP="006F5938">
      <w:pPr>
        <w:pStyle w:val="ListParagraph"/>
        <w:spacing w:line="240" w:lineRule="auto"/>
        <w:jc w:val="both"/>
        <w:rPr>
          <w:rFonts w:ascii="Times New Roman" w:hAnsi="Times New Roman"/>
          <w:b/>
          <w:sz w:val="24"/>
          <w:szCs w:val="24"/>
        </w:rPr>
      </w:pPr>
    </w:p>
    <w:p w:rsidR="006F5938" w:rsidRPr="006F5938" w:rsidRDefault="006F5938" w:rsidP="006F5938">
      <w:pPr>
        <w:pStyle w:val="ListParagraph"/>
        <w:numPr>
          <w:ilvl w:val="0"/>
          <w:numId w:val="27"/>
        </w:numPr>
        <w:spacing w:line="240" w:lineRule="auto"/>
        <w:jc w:val="both"/>
        <w:rPr>
          <w:rFonts w:ascii="Times New Roman" w:hAnsi="Times New Roman"/>
          <w:b/>
          <w:sz w:val="28"/>
          <w:szCs w:val="28"/>
        </w:rPr>
      </w:pPr>
      <w:r w:rsidRPr="006F5938">
        <w:rPr>
          <w:rFonts w:ascii="Times New Roman" w:hAnsi="Times New Roman"/>
          <w:b/>
          <w:sz w:val="28"/>
          <w:szCs w:val="28"/>
        </w:rPr>
        <w:t>Inventory</w:t>
      </w:r>
    </w:p>
    <w:p w:rsidR="006F5938" w:rsidRPr="006F5938" w:rsidRDefault="006F5938" w:rsidP="006F5938">
      <w:pPr>
        <w:spacing w:after="0" w:line="240" w:lineRule="auto"/>
        <w:jc w:val="both"/>
        <w:rPr>
          <w:rFonts w:ascii="Times New Roman" w:eastAsia="Times New Roman" w:hAnsi="Times New Roman"/>
        </w:rPr>
      </w:pPr>
    </w:p>
    <w:p w:rsidR="006F5938" w:rsidRPr="00CE2E4C" w:rsidRDefault="006F5938" w:rsidP="006F5938">
      <w:pPr>
        <w:spacing w:after="0" w:line="240" w:lineRule="auto"/>
        <w:jc w:val="both"/>
        <w:rPr>
          <w:rFonts w:ascii="Times New Roman" w:eastAsia="Times New Roman" w:hAnsi="Times New Roman"/>
          <w:b/>
          <w:i/>
        </w:rPr>
      </w:pPr>
      <w:r w:rsidRPr="006F5938">
        <w:rPr>
          <w:rFonts w:ascii="Times New Roman" w:eastAsia="Times New Roman" w:hAnsi="Times New Roman"/>
        </w:rPr>
        <w:t xml:space="preserve">An exhaustive inspection of all </w:t>
      </w:r>
      <w:r>
        <w:rPr>
          <w:rFonts w:ascii="Times New Roman" w:eastAsia="Times New Roman" w:hAnsi="Times New Roman"/>
        </w:rPr>
        <w:t>facilities (water points, latrines, etc.)</w:t>
      </w:r>
      <w:r w:rsidRPr="006F5938">
        <w:rPr>
          <w:rFonts w:ascii="Times New Roman" w:eastAsia="Times New Roman" w:hAnsi="Times New Roman"/>
        </w:rPr>
        <w:t xml:space="preserve"> newly constructed or rehabilitated by the project </w:t>
      </w:r>
      <w:r>
        <w:rPr>
          <w:rFonts w:ascii="Times New Roman" w:eastAsia="Times New Roman" w:hAnsi="Times New Roman"/>
        </w:rPr>
        <w:t>should be</w:t>
      </w:r>
      <w:r w:rsidRPr="006F5938">
        <w:rPr>
          <w:rFonts w:ascii="Times New Roman" w:eastAsia="Times New Roman" w:hAnsi="Times New Roman"/>
        </w:rPr>
        <w:t xml:space="preserve"> undertaken within the study. </w:t>
      </w:r>
      <w:r>
        <w:rPr>
          <w:rFonts w:ascii="Times New Roman" w:eastAsia="Times New Roman" w:hAnsi="Times New Roman"/>
        </w:rPr>
        <w:t>The inventory should include, when possible, all facilities generated spontaneously in the community as a result of participatory methodologies (PHAST, CLTS; etc).</w:t>
      </w:r>
      <w:r w:rsidR="00CE2E4C">
        <w:rPr>
          <w:rFonts w:ascii="Times New Roman" w:eastAsia="Times New Roman" w:hAnsi="Times New Roman"/>
        </w:rPr>
        <w:t xml:space="preserve"> An example of inventory form can be found in </w:t>
      </w:r>
      <w:r w:rsidR="00CE2E4C" w:rsidRPr="00CE2E4C">
        <w:rPr>
          <w:rFonts w:ascii="Times New Roman" w:eastAsia="Times New Roman" w:hAnsi="Times New Roman"/>
          <w:b/>
          <w:i/>
        </w:rPr>
        <w:t>Annex 3.</w:t>
      </w:r>
    </w:p>
    <w:p w:rsidR="00A6764D" w:rsidRPr="006F5938" w:rsidRDefault="00A6764D" w:rsidP="00A6764D">
      <w:pPr>
        <w:spacing w:line="240" w:lineRule="auto"/>
        <w:jc w:val="both"/>
        <w:rPr>
          <w:rFonts w:ascii="Times New Roman" w:hAnsi="Times New Roman"/>
          <w:b/>
          <w:sz w:val="24"/>
          <w:szCs w:val="24"/>
          <w:lang w:val="nl-NL"/>
        </w:rPr>
      </w:pPr>
    </w:p>
    <w:p w:rsidR="00912F39" w:rsidRDefault="00912F39" w:rsidP="00912F39">
      <w:pPr>
        <w:spacing w:line="240" w:lineRule="auto"/>
        <w:jc w:val="both"/>
        <w:rPr>
          <w:rFonts w:ascii="Times New Roman" w:hAnsi="Times New Roman"/>
          <w:b/>
          <w:sz w:val="24"/>
          <w:szCs w:val="24"/>
          <w:lang w:val="en-GB"/>
        </w:rPr>
      </w:pPr>
    </w:p>
    <w:p w:rsidR="006F5938" w:rsidRDefault="006F5938" w:rsidP="00912F39">
      <w:pPr>
        <w:spacing w:line="240" w:lineRule="auto"/>
        <w:jc w:val="both"/>
        <w:rPr>
          <w:rFonts w:ascii="Times New Roman" w:hAnsi="Times New Roman"/>
          <w:b/>
          <w:sz w:val="24"/>
          <w:szCs w:val="24"/>
          <w:lang w:val="en-GB"/>
        </w:rPr>
      </w:pPr>
    </w:p>
    <w:p w:rsidR="006F5938" w:rsidRDefault="006F5938" w:rsidP="00912F39">
      <w:pPr>
        <w:spacing w:line="240" w:lineRule="auto"/>
        <w:jc w:val="both"/>
        <w:rPr>
          <w:rFonts w:ascii="Times New Roman" w:hAnsi="Times New Roman"/>
          <w:b/>
          <w:sz w:val="24"/>
          <w:szCs w:val="24"/>
          <w:lang w:val="en-GB"/>
        </w:rPr>
      </w:pPr>
    </w:p>
    <w:p w:rsidR="006F5938" w:rsidRPr="00816BFB" w:rsidRDefault="006F5938" w:rsidP="001B79FC">
      <w:pPr>
        <w:pStyle w:val="Heading1"/>
        <w:numPr>
          <w:ilvl w:val="0"/>
          <w:numId w:val="34"/>
        </w:numPr>
        <w:spacing w:before="0" w:line="240" w:lineRule="auto"/>
        <w:jc w:val="both"/>
        <w:rPr>
          <w:rFonts w:ascii="Times New Roman" w:hAnsi="Times New Roman" w:cs="Times New Roman"/>
          <w:color w:val="auto"/>
          <w:lang w:val="en-GB"/>
        </w:rPr>
      </w:pPr>
      <w:r>
        <w:rPr>
          <w:rFonts w:ascii="Times New Roman" w:hAnsi="Times New Roman" w:cs="Times New Roman"/>
          <w:color w:val="auto"/>
          <w:lang w:val="en-GB"/>
        </w:rPr>
        <w:lastRenderedPageBreak/>
        <w:t>Look-back study: Evaluation criteria</w:t>
      </w:r>
    </w:p>
    <w:p w:rsidR="006F5938" w:rsidRDefault="006F5938" w:rsidP="006F5938">
      <w:pPr>
        <w:pStyle w:val="ListParagraph"/>
        <w:spacing w:line="240" w:lineRule="auto"/>
        <w:jc w:val="both"/>
        <w:rPr>
          <w:rFonts w:ascii="Times New Roman" w:hAnsi="Times New Roman"/>
          <w:b/>
          <w:sz w:val="28"/>
          <w:szCs w:val="28"/>
          <w:lang w:val="en-GB"/>
        </w:rPr>
      </w:pPr>
    </w:p>
    <w:p w:rsidR="00892BF0" w:rsidRPr="006F5938" w:rsidRDefault="00892BF0" w:rsidP="006F5938">
      <w:pPr>
        <w:pStyle w:val="ListParagraph"/>
        <w:numPr>
          <w:ilvl w:val="0"/>
          <w:numId w:val="33"/>
        </w:numPr>
        <w:spacing w:line="240" w:lineRule="auto"/>
        <w:jc w:val="both"/>
        <w:rPr>
          <w:rFonts w:ascii="Times New Roman" w:hAnsi="Times New Roman"/>
          <w:b/>
          <w:sz w:val="28"/>
          <w:szCs w:val="28"/>
          <w:lang w:val="en-GB"/>
        </w:rPr>
      </w:pPr>
      <w:r w:rsidRPr="006F5938">
        <w:rPr>
          <w:rFonts w:ascii="Times New Roman" w:hAnsi="Times New Roman"/>
          <w:b/>
          <w:sz w:val="28"/>
          <w:szCs w:val="28"/>
          <w:lang w:val="en-GB"/>
        </w:rPr>
        <w:t>Impact criteria</w:t>
      </w:r>
    </w:p>
    <w:p w:rsidR="00912F39" w:rsidRDefault="00912F39" w:rsidP="009F78A3">
      <w:pPr>
        <w:spacing w:after="0" w:line="240" w:lineRule="auto"/>
        <w:rPr>
          <w:rFonts w:ascii="Times New Roman" w:eastAsia="SimSun" w:hAnsi="Times New Roman" w:cs="Times New Roman"/>
          <w:lang w:val="en-GB" w:eastAsia="zh-CN"/>
        </w:rPr>
      </w:pPr>
    </w:p>
    <w:p w:rsidR="00827EA6" w:rsidRDefault="00827EA6" w:rsidP="00827EA6">
      <w:pPr>
        <w:spacing w:after="120" w:line="240" w:lineRule="auto"/>
        <w:jc w:val="both"/>
        <w:rPr>
          <w:rFonts w:ascii="Times New Roman" w:hAnsi="Times New Roman"/>
          <w:lang w:val="en-GB"/>
        </w:rPr>
      </w:pPr>
      <w:r>
        <w:rPr>
          <w:rFonts w:ascii="Times New Roman" w:hAnsi="Times New Roman"/>
          <w:lang w:val="en-GB"/>
        </w:rPr>
        <w:t xml:space="preserve">The WatSan sector in general recognizes that </w:t>
      </w:r>
      <w:r w:rsidR="006F5938" w:rsidRPr="006F5938">
        <w:rPr>
          <w:rFonts w:ascii="Times New Roman" w:hAnsi="Times New Roman"/>
          <w:lang w:val="en-GB"/>
        </w:rPr>
        <w:t>there are many determinants that influence on people´s health or reduce the risk of diseases (such as nutrition status, education level, climate, etc.)</w:t>
      </w:r>
      <w:r>
        <w:rPr>
          <w:rFonts w:ascii="Times New Roman" w:hAnsi="Times New Roman"/>
          <w:lang w:val="en-GB"/>
        </w:rPr>
        <w:t xml:space="preserve"> that go beyond the scope of a WatSan </w:t>
      </w:r>
      <w:r w:rsidR="006F5938" w:rsidRPr="006F5938">
        <w:rPr>
          <w:rFonts w:ascii="Times New Roman" w:hAnsi="Times New Roman"/>
          <w:lang w:val="en-GB"/>
        </w:rPr>
        <w:t xml:space="preserve">intervention, so the limitation in terms of finding accurate and sound means of verification </w:t>
      </w:r>
      <w:r>
        <w:rPr>
          <w:rFonts w:ascii="Times New Roman" w:hAnsi="Times New Roman"/>
          <w:lang w:val="en-GB"/>
        </w:rPr>
        <w:t xml:space="preserve">to measure the </w:t>
      </w:r>
      <w:r w:rsidRPr="00827EA6">
        <w:rPr>
          <w:rFonts w:ascii="Times New Roman" w:hAnsi="Times New Roman"/>
          <w:b/>
          <w:lang w:val="en-GB"/>
        </w:rPr>
        <w:t>health impact</w:t>
      </w:r>
      <w:r>
        <w:rPr>
          <w:rFonts w:ascii="Times New Roman" w:hAnsi="Times New Roman"/>
          <w:lang w:val="en-GB"/>
        </w:rPr>
        <w:t xml:space="preserve"> of WatSan projects </w:t>
      </w:r>
      <w:r w:rsidR="006F5938" w:rsidRPr="006F5938">
        <w:rPr>
          <w:rFonts w:ascii="Times New Roman" w:hAnsi="Times New Roman"/>
          <w:lang w:val="en-GB"/>
        </w:rPr>
        <w:t xml:space="preserve">is an important constraint for this modality of ‘look-back' study. </w:t>
      </w:r>
    </w:p>
    <w:p w:rsidR="006F5938" w:rsidRDefault="006F5938" w:rsidP="00827EA6">
      <w:pPr>
        <w:spacing w:after="120" w:line="240" w:lineRule="auto"/>
        <w:jc w:val="both"/>
        <w:rPr>
          <w:rFonts w:ascii="Times New Roman" w:hAnsi="Times New Roman"/>
          <w:lang w:val="en-GB"/>
        </w:rPr>
      </w:pPr>
      <w:r w:rsidRPr="006F5938">
        <w:rPr>
          <w:rFonts w:ascii="Times New Roman" w:hAnsi="Times New Roman"/>
          <w:lang w:val="en-GB"/>
        </w:rPr>
        <w:t xml:space="preserve">Moreover, sufficient scientific studies have proven the significance of the causal relationship between an intervention in the WatSan sector and the prevalence of diarrhoeal diseases. The examination of that relationship with the identification of the causal factors that lead to the desired outcome (better health) </w:t>
      </w:r>
      <w:r w:rsidR="00827EA6">
        <w:rPr>
          <w:rFonts w:ascii="Times New Roman" w:hAnsi="Times New Roman"/>
          <w:lang w:val="en-GB"/>
        </w:rPr>
        <w:t>might be</w:t>
      </w:r>
      <w:r w:rsidRPr="006F5938">
        <w:rPr>
          <w:rFonts w:ascii="Times New Roman" w:hAnsi="Times New Roman"/>
          <w:lang w:val="en-GB"/>
        </w:rPr>
        <w:t xml:space="preserve"> used to generate a programme logic model</w:t>
      </w:r>
      <w:r w:rsidR="00827EA6">
        <w:rPr>
          <w:rFonts w:ascii="Times New Roman" w:hAnsi="Times New Roman"/>
          <w:lang w:val="en-GB"/>
        </w:rPr>
        <w:t xml:space="preserve"> and </w:t>
      </w:r>
      <w:r w:rsidRPr="006F5938">
        <w:rPr>
          <w:rFonts w:ascii="Times New Roman" w:hAnsi="Times New Roman"/>
          <w:lang w:val="en-GB"/>
        </w:rPr>
        <w:t>assess whether critical factors, judged important for success, such as consumption of safe water and adherence to key hygiene practices at the household level, have been present in the communities in the</w:t>
      </w:r>
      <w:r w:rsidR="00827EA6">
        <w:rPr>
          <w:rFonts w:ascii="Times New Roman" w:hAnsi="Times New Roman"/>
          <w:lang w:val="en-GB"/>
        </w:rPr>
        <w:t xml:space="preserve"> long run. Where the data shows</w:t>
      </w:r>
      <w:r w:rsidRPr="006F5938">
        <w:rPr>
          <w:rFonts w:ascii="Times New Roman" w:hAnsi="Times New Roman"/>
          <w:lang w:val="en-GB"/>
        </w:rPr>
        <w:t xml:space="preserve"> these factors </w:t>
      </w:r>
      <w:r w:rsidR="00827EA6">
        <w:rPr>
          <w:rFonts w:ascii="Times New Roman" w:hAnsi="Times New Roman"/>
          <w:lang w:val="en-GB"/>
        </w:rPr>
        <w:t>are</w:t>
      </w:r>
      <w:r w:rsidRPr="006F5938">
        <w:rPr>
          <w:rFonts w:ascii="Times New Roman" w:hAnsi="Times New Roman"/>
          <w:lang w:val="en-GB"/>
        </w:rPr>
        <w:t xml:space="preserve"> </w:t>
      </w:r>
      <w:r w:rsidR="00827EA6" w:rsidRPr="006F5938">
        <w:rPr>
          <w:rFonts w:ascii="Times New Roman" w:hAnsi="Times New Roman"/>
          <w:lang w:val="en-GB"/>
        </w:rPr>
        <w:t>achieved,</w:t>
      </w:r>
      <w:r w:rsidRPr="006F5938">
        <w:rPr>
          <w:rFonts w:ascii="Times New Roman" w:hAnsi="Times New Roman"/>
          <w:lang w:val="en-GB"/>
        </w:rPr>
        <w:t xml:space="preserve"> the conclusion </w:t>
      </w:r>
      <w:r w:rsidR="00827EA6">
        <w:rPr>
          <w:rFonts w:ascii="Times New Roman" w:hAnsi="Times New Roman"/>
          <w:lang w:val="en-GB"/>
        </w:rPr>
        <w:t>should be</w:t>
      </w:r>
      <w:r w:rsidRPr="006F5938">
        <w:rPr>
          <w:rFonts w:ascii="Times New Roman" w:hAnsi="Times New Roman"/>
          <w:lang w:val="en-GB"/>
        </w:rPr>
        <w:t xml:space="preserve"> that the programme has likely been successful in achieving its objectives. </w:t>
      </w:r>
    </w:p>
    <w:p w:rsidR="00827EA6" w:rsidRPr="006F5938" w:rsidRDefault="00827EA6" w:rsidP="00827EA6">
      <w:pPr>
        <w:spacing w:after="120" w:line="240" w:lineRule="auto"/>
        <w:jc w:val="both"/>
        <w:rPr>
          <w:rFonts w:ascii="Times New Roman" w:hAnsi="Times New Roman"/>
          <w:lang w:val="en-GB"/>
        </w:rPr>
      </w:pPr>
      <w:r>
        <w:rPr>
          <w:rFonts w:ascii="Times New Roman" w:hAnsi="Times New Roman"/>
          <w:lang w:val="en-GB"/>
        </w:rPr>
        <w:t>H</w:t>
      </w:r>
      <w:r w:rsidRPr="006F5938">
        <w:rPr>
          <w:rFonts w:ascii="Times New Roman" w:hAnsi="Times New Roman"/>
          <w:lang w:val="en-GB"/>
        </w:rPr>
        <w:t xml:space="preserve">ealth data (such as self- report of occurrence of watery diarrhoea and bloody diarrhoea in the last month) </w:t>
      </w:r>
      <w:r>
        <w:rPr>
          <w:rFonts w:ascii="Times New Roman" w:hAnsi="Times New Roman"/>
          <w:lang w:val="en-GB"/>
        </w:rPr>
        <w:t>can be</w:t>
      </w:r>
      <w:r w:rsidRPr="006F5938">
        <w:rPr>
          <w:rFonts w:ascii="Times New Roman" w:hAnsi="Times New Roman"/>
          <w:lang w:val="en-GB"/>
        </w:rPr>
        <w:t xml:space="preserve"> collected </w:t>
      </w:r>
      <w:r>
        <w:rPr>
          <w:rFonts w:ascii="Times New Roman" w:hAnsi="Times New Roman"/>
          <w:lang w:val="en-GB"/>
        </w:rPr>
        <w:t xml:space="preserve">through the household survey, FGDs and interviews, </w:t>
      </w:r>
      <w:r w:rsidRPr="006F5938">
        <w:rPr>
          <w:rFonts w:ascii="Times New Roman" w:hAnsi="Times New Roman"/>
          <w:lang w:val="en-GB"/>
        </w:rPr>
        <w:t xml:space="preserve">as important and relevant contextual information, but it </w:t>
      </w:r>
      <w:r>
        <w:rPr>
          <w:rFonts w:ascii="Times New Roman" w:hAnsi="Times New Roman"/>
          <w:lang w:val="en-GB"/>
        </w:rPr>
        <w:t>should</w:t>
      </w:r>
      <w:r w:rsidRPr="006F5938">
        <w:rPr>
          <w:rFonts w:ascii="Times New Roman" w:hAnsi="Times New Roman"/>
          <w:lang w:val="en-GB"/>
        </w:rPr>
        <w:t xml:space="preserve"> not be used as the core indicator of impact measurement. Other elements, such as </w:t>
      </w:r>
      <w:r>
        <w:rPr>
          <w:rFonts w:ascii="Times New Roman" w:hAnsi="Times New Roman"/>
          <w:lang w:val="en-GB"/>
        </w:rPr>
        <w:t xml:space="preserve">discussing about the changes on </w:t>
      </w:r>
      <w:r w:rsidRPr="006F5938">
        <w:rPr>
          <w:rFonts w:ascii="Times New Roman" w:hAnsi="Times New Roman"/>
          <w:lang w:val="en-GB"/>
        </w:rPr>
        <w:t xml:space="preserve">access to safe water, latrine coverage and prevalence of handwashing practice </w:t>
      </w:r>
      <w:r>
        <w:rPr>
          <w:rFonts w:ascii="Times New Roman" w:hAnsi="Times New Roman"/>
          <w:lang w:val="en-GB"/>
        </w:rPr>
        <w:t>should be</w:t>
      </w:r>
      <w:r w:rsidRPr="006F5938">
        <w:rPr>
          <w:rFonts w:ascii="Times New Roman" w:hAnsi="Times New Roman"/>
          <w:lang w:val="en-GB"/>
        </w:rPr>
        <w:t xml:space="preserve"> central to the section on health impact.</w:t>
      </w:r>
    </w:p>
    <w:p w:rsidR="00530A77" w:rsidRDefault="00827EA6" w:rsidP="00530A77">
      <w:pPr>
        <w:spacing w:line="240" w:lineRule="auto"/>
        <w:rPr>
          <w:rFonts w:ascii="Times New Roman" w:hAnsi="Times New Roman" w:cs="Times New Roman"/>
          <w:lang w:val="en-GB"/>
        </w:rPr>
      </w:pPr>
      <w:r w:rsidRPr="001872F1">
        <w:rPr>
          <w:rFonts w:ascii="Times New Roman" w:hAnsi="Times New Roman" w:cs="Times New Roman"/>
          <w:lang w:val="en-GB"/>
        </w:rPr>
        <w:t xml:space="preserve">Through the look-back study, the assessment of impact </w:t>
      </w:r>
      <w:r w:rsidR="003C189A">
        <w:rPr>
          <w:rFonts w:ascii="Times New Roman" w:hAnsi="Times New Roman" w:cs="Times New Roman"/>
          <w:lang w:val="en-GB"/>
        </w:rPr>
        <w:t>should examine health impact but also cover</w:t>
      </w:r>
      <w:r w:rsidRPr="001872F1">
        <w:rPr>
          <w:rFonts w:ascii="Times New Roman" w:hAnsi="Times New Roman" w:cs="Times New Roman"/>
          <w:lang w:val="en-GB"/>
        </w:rPr>
        <w:t xml:space="preserve"> issues of wider socio-economic and socio-cultural change</w:t>
      </w:r>
      <w:r>
        <w:rPr>
          <w:rFonts w:ascii="Times New Roman" w:hAnsi="Times New Roman" w:cs="Times New Roman"/>
          <w:lang w:val="en-GB"/>
        </w:rPr>
        <w:t xml:space="preserve">. Impact on education, </w:t>
      </w:r>
      <w:r w:rsidR="003C189A">
        <w:rPr>
          <w:rFonts w:ascii="Times New Roman" w:hAnsi="Times New Roman" w:cs="Times New Roman"/>
          <w:lang w:val="en-GB"/>
        </w:rPr>
        <w:t xml:space="preserve">organizational development (OD), environment and gender are key components of the impact section. </w:t>
      </w:r>
      <w:r w:rsidR="004E2603">
        <w:rPr>
          <w:rFonts w:ascii="Times New Roman" w:hAnsi="Times New Roman" w:cs="Times New Roman"/>
          <w:lang w:val="en-GB"/>
        </w:rPr>
        <w:t>A menu of e</w:t>
      </w:r>
      <w:r w:rsidR="003C189A">
        <w:rPr>
          <w:rFonts w:ascii="Times New Roman" w:hAnsi="Times New Roman" w:cs="Times New Roman"/>
          <w:lang w:val="en-GB"/>
        </w:rPr>
        <w:t>xamples of i</w:t>
      </w:r>
      <w:r w:rsidR="004E2603">
        <w:rPr>
          <w:rFonts w:ascii="Times New Roman" w:hAnsi="Times New Roman" w:cs="Times New Roman"/>
          <w:lang w:val="en-GB"/>
        </w:rPr>
        <w:t>ndicators for those elements is</w:t>
      </w:r>
      <w:r w:rsidR="003C189A">
        <w:rPr>
          <w:rFonts w:ascii="Times New Roman" w:hAnsi="Times New Roman" w:cs="Times New Roman"/>
          <w:lang w:val="en-GB"/>
        </w:rPr>
        <w:t xml:space="preserve"> included in Table 1.</w:t>
      </w:r>
      <w:r w:rsidR="00530A77">
        <w:rPr>
          <w:rFonts w:ascii="Times New Roman" w:hAnsi="Times New Roman" w:cs="Times New Roman"/>
          <w:lang w:val="en-GB"/>
        </w:rPr>
        <w:t xml:space="preserve"> </w:t>
      </w:r>
      <w:r w:rsidR="00530A77" w:rsidRPr="00816BFB">
        <w:rPr>
          <w:rFonts w:ascii="Times New Roman" w:hAnsi="Times New Roman" w:cs="Times New Roman"/>
          <w:lang w:val="en-GB"/>
        </w:rPr>
        <w:t>Note that these types of indicators are very context related therefore need to be adapted to the specific context.</w:t>
      </w:r>
    </w:p>
    <w:p w:rsidR="009F78A3" w:rsidRPr="00816BFB" w:rsidRDefault="009F78A3" w:rsidP="009F78A3">
      <w:pPr>
        <w:spacing w:after="0" w:line="240" w:lineRule="auto"/>
        <w:rPr>
          <w:rFonts w:ascii="Times New Roman" w:hAnsi="Times New Roman" w:cs="Times New Roman"/>
          <w:lang w:val="en-GB"/>
        </w:rPr>
      </w:pPr>
      <w:r w:rsidRPr="00816BFB">
        <w:rPr>
          <w:rFonts w:ascii="Times New Roman" w:hAnsi="Times New Roman" w:cs="Times New Roman"/>
          <w:b/>
          <w:lang w:val="en-GB"/>
        </w:rPr>
        <w:t>Table 1</w:t>
      </w:r>
      <w:proofErr w:type="gramStart"/>
      <w:r w:rsidRPr="00816BFB">
        <w:rPr>
          <w:rFonts w:ascii="Times New Roman" w:hAnsi="Times New Roman" w:cs="Times New Roman"/>
          <w:b/>
          <w:lang w:val="en-GB"/>
        </w:rPr>
        <w:t>.-</w:t>
      </w:r>
      <w:proofErr w:type="gramEnd"/>
      <w:r w:rsidRPr="00816BFB">
        <w:rPr>
          <w:rFonts w:ascii="Times New Roman" w:hAnsi="Times New Roman" w:cs="Times New Roman"/>
          <w:b/>
          <w:lang w:val="en-GB"/>
        </w:rPr>
        <w:t xml:space="preserve"> Impact indicators.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6"/>
      </w:tblGrid>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6A6A6" w:themeFill="background1" w:themeFillShade="A6"/>
          </w:tcPr>
          <w:p w:rsidR="009F78A3" w:rsidRPr="00C05A94" w:rsidRDefault="009F78A3" w:rsidP="005F328B">
            <w:pPr>
              <w:pStyle w:val="BodyText2"/>
              <w:numPr>
                <w:ilvl w:val="0"/>
                <w:numId w:val="14"/>
              </w:numPr>
              <w:spacing w:after="0" w:line="240" w:lineRule="auto"/>
              <w:rPr>
                <w:rFonts w:ascii="Times New Roman" w:hAnsi="Times New Roman" w:cs="Times New Roman"/>
                <w:b/>
                <w:sz w:val="20"/>
                <w:szCs w:val="20"/>
                <w:lang w:val="en-GB"/>
              </w:rPr>
            </w:pPr>
            <w:r w:rsidRPr="00C05A94">
              <w:rPr>
                <w:rFonts w:ascii="Times New Roman" w:hAnsi="Times New Roman" w:cs="Times New Roman"/>
                <w:b/>
                <w:sz w:val="20"/>
                <w:szCs w:val="20"/>
                <w:lang w:val="en-GB"/>
              </w:rPr>
              <w:t>Socio-economic impact</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5F328B">
            <w:pPr>
              <w:pStyle w:val="BodyText2"/>
              <w:numPr>
                <w:ilvl w:val="1"/>
                <w:numId w:val="14"/>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Increase in asset ownership</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uto"/>
          </w:tcPr>
          <w:p w:rsidR="009F78A3" w:rsidRPr="00C05A94" w:rsidRDefault="009F78A3" w:rsidP="005F328B">
            <w:pPr>
              <w:pStyle w:val="BodyText2"/>
              <w:widowControl w:val="0"/>
              <w:numPr>
                <w:ilvl w:val="0"/>
                <w:numId w:val="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Examples: number of cattle / family, number of bicycle / family, number of radios / family, size of the house and construction materials used, etc.</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5F328B">
            <w:pPr>
              <w:pStyle w:val="BodyText2"/>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Growth in livelihood activities</w:t>
            </w:r>
          </w:p>
        </w:tc>
      </w:tr>
      <w:tr w:rsidR="009F78A3" w:rsidRPr="00C05A94" w:rsidTr="00B31EE2">
        <w:trPr>
          <w:tblHeader/>
        </w:trPr>
        <w:tc>
          <w:tcPr>
            <w:tcW w:w="9426" w:type="dxa"/>
            <w:tcBorders>
              <w:top w:val="single" w:sz="4" w:space="0" w:color="auto"/>
              <w:left w:val="single" w:sz="4" w:space="0" w:color="auto"/>
              <w:bottom w:val="single" w:sz="4" w:space="0" w:color="auto"/>
              <w:right w:val="single" w:sz="4" w:space="0" w:color="auto"/>
            </w:tcBorders>
            <w:shd w:val="clear" w:color="auto" w:fill="auto"/>
          </w:tcPr>
          <w:p w:rsidR="009F78A3" w:rsidRPr="00C05A94" w:rsidRDefault="009F78A3" w:rsidP="005F328B">
            <w:pPr>
              <w:pStyle w:val="BodyText2"/>
              <w:widowControl w:val="0"/>
              <w:numPr>
                <w:ilvl w:val="0"/>
                <w:numId w:val="5"/>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Examples: increase in irrigated plots (gardens), brick making, brewing alcoholic drinks, etc.</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F2F2F2" w:themeFill="background1" w:themeFillShade="F2"/>
          </w:tcPr>
          <w:p w:rsidR="009F78A3" w:rsidRPr="00C05A94" w:rsidRDefault="009F78A3" w:rsidP="005F328B">
            <w:pPr>
              <w:pStyle w:val="BodyText2"/>
              <w:widowControl w:val="0"/>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Changes in household income and purchasing power</w:t>
            </w:r>
          </w:p>
        </w:tc>
      </w:tr>
      <w:tr w:rsidR="009F78A3" w:rsidRPr="00C05A94" w:rsidTr="00B31EE2">
        <w:trPr>
          <w:tblHeader/>
        </w:trPr>
        <w:tc>
          <w:tcPr>
            <w:tcW w:w="9426" w:type="dxa"/>
            <w:tcBorders>
              <w:top w:val="single" w:sz="4" w:space="0" w:color="auto"/>
              <w:left w:val="single" w:sz="4" w:space="0" w:color="auto"/>
              <w:bottom w:val="single" w:sz="4" w:space="0" w:color="auto"/>
              <w:right w:val="single" w:sz="4" w:space="0" w:color="auto"/>
            </w:tcBorders>
            <w:shd w:val="clear" w:color="auto" w:fill="auto"/>
          </w:tcPr>
          <w:p w:rsidR="009F78A3" w:rsidRPr="00C05A94" w:rsidRDefault="009F78A3" w:rsidP="005F328B">
            <w:pPr>
              <w:pStyle w:val="BodyText2"/>
              <w:widowControl w:val="0"/>
              <w:numPr>
                <w:ilvl w:val="0"/>
                <w:numId w:val="7"/>
              </w:numPr>
              <w:spacing w:after="0" w:line="240" w:lineRule="auto"/>
              <w:ind w:left="426" w:hanging="426"/>
              <w:rPr>
                <w:rFonts w:ascii="Times New Roman" w:hAnsi="Times New Roman" w:cs="Times New Roman"/>
                <w:sz w:val="20"/>
                <w:szCs w:val="20"/>
                <w:lang w:val="en-GB"/>
              </w:rPr>
            </w:pPr>
            <w:r w:rsidRPr="00C05A94">
              <w:rPr>
                <w:rFonts w:ascii="Times New Roman" w:hAnsi="Times New Roman" w:cs="Times New Roman"/>
                <w:sz w:val="20"/>
                <w:szCs w:val="20"/>
                <w:lang w:val="en-GB"/>
              </w:rPr>
              <w:t>Examples: decrease in money spent on water, number of new items purchased regularly such as soap, school books, etc; increase income from small businesses like vegetable gardens, improvements made to existing business, etc.</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F2F2F2" w:themeFill="background1" w:themeFillShade="F2"/>
          </w:tcPr>
          <w:p w:rsidR="009F78A3" w:rsidRPr="00C05A94" w:rsidRDefault="009F78A3" w:rsidP="005F328B">
            <w:pPr>
              <w:pStyle w:val="BodyText2"/>
              <w:widowControl w:val="0"/>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Food security</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uto"/>
          </w:tcPr>
          <w:p w:rsidR="009F78A3" w:rsidRPr="00C05A94" w:rsidRDefault="009F78A3" w:rsidP="005F328B">
            <w:pPr>
              <w:pStyle w:val="BodyText2"/>
              <w:widowControl w:val="0"/>
              <w:numPr>
                <w:ilvl w:val="0"/>
                <w:numId w:val="15"/>
              </w:numPr>
              <w:spacing w:after="0" w:line="240" w:lineRule="auto"/>
              <w:ind w:left="426" w:hanging="426"/>
              <w:rPr>
                <w:rFonts w:ascii="Times New Roman" w:hAnsi="Times New Roman" w:cs="Times New Roman"/>
                <w:sz w:val="20"/>
                <w:szCs w:val="20"/>
                <w:lang w:val="en-GB"/>
              </w:rPr>
            </w:pPr>
            <w:r w:rsidRPr="00C05A94">
              <w:rPr>
                <w:rFonts w:ascii="Times New Roman" w:hAnsi="Times New Roman" w:cs="Times New Roman"/>
                <w:sz w:val="20"/>
                <w:szCs w:val="20"/>
                <w:lang w:val="en-GB"/>
              </w:rPr>
              <w:t>Examples: increase the amount ad variety of food available for the family.</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6A6A6" w:themeFill="background1" w:themeFillShade="A6"/>
          </w:tcPr>
          <w:p w:rsidR="009F78A3" w:rsidRPr="00C05A94" w:rsidRDefault="009F78A3" w:rsidP="005F328B">
            <w:pPr>
              <w:pStyle w:val="BodyText2"/>
              <w:numPr>
                <w:ilvl w:val="0"/>
                <w:numId w:val="14"/>
              </w:numPr>
              <w:spacing w:after="0" w:line="240" w:lineRule="auto"/>
              <w:rPr>
                <w:rFonts w:ascii="Times New Roman" w:hAnsi="Times New Roman" w:cs="Times New Roman"/>
                <w:b/>
                <w:sz w:val="20"/>
                <w:szCs w:val="20"/>
                <w:lang w:val="en-GB"/>
              </w:rPr>
            </w:pPr>
            <w:r w:rsidRPr="00C05A94">
              <w:rPr>
                <w:rFonts w:ascii="Times New Roman" w:hAnsi="Times New Roman" w:cs="Times New Roman"/>
                <w:b/>
                <w:sz w:val="20"/>
                <w:szCs w:val="20"/>
                <w:lang w:val="en-GB"/>
              </w:rPr>
              <w:t>Socio-cultural impact</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5F328B">
            <w:pPr>
              <w:pStyle w:val="BodyText2"/>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Distance to fetch water</w:t>
            </w:r>
          </w:p>
        </w:tc>
      </w:tr>
      <w:tr w:rsidR="009F78A3" w:rsidRPr="00C05A94" w:rsidTr="00B31EE2">
        <w:trPr>
          <w:tblHeader/>
        </w:trPr>
        <w:tc>
          <w:tcPr>
            <w:tcW w:w="9426" w:type="dxa"/>
            <w:tcBorders>
              <w:top w:val="single" w:sz="4" w:space="0" w:color="auto"/>
              <w:left w:val="single" w:sz="4" w:space="0" w:color="auto"/>
              <w:bottom w:val="single" w:sz="4" w:space="0" w:color="auto"/>
              <w:right w:val="single" w:sz="4" w:space="0" w:color="auto"/>
            </w:tcBorders>
            <w:shd w:val="clear" w:color="auto" w:fill="auto"/>
          </w:tcPr>
          <w:p w:rsidR="009F78A3" w:rsidRPr="00C05A94" w:rsidRDefault="009F78A3" w:rsidP="005F328B">
            <w:pPr>
              <w:pStyle w:val="BodyText2"/>
              <w:widowControl w:val="0"/>
              <w:numPr>
                <w:ilvl w:val="0"/>
                <w:numId w:val="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Examples: time taken for return trip to water point (including waiting time), distance to dry-season water point, etc.</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5F328B">
            <w:pPr>
              <w:pStyle w:val="BodyText2"/>
              <w:widowControl w:val="0"/>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Family interaction</w:t>
            </w:r>
          </w:p>
        </w:tc>
      </w:tr>
      <w:tr w:rsidR="009F78A3" w:rsidRPr="00C05A94" w:rsidTr="00B31EE2">
        <w:trPr>
          <w:tblHeader/>
        </w:trPr>
        <w:tc>
          <w:tcPr>
            <w:tcW w:w="9426" w:type="dxa"/>
            <w:tcBorders>
              <w:top w:val="single" w:sz="4" w:space="0" w:color="auto"/>
              <w:left w:val="single" w:sz="4" w:space="0" w:color="auto"/>
              <w:bottom w:val="single" w:sz="4" w:space="0" w:color="auto"/>
              <w:right w:val="single" w:sz="4" w:space="0" w:color="auto"/>
            </w:tcBorders>
            <w:shd w:val="clear" w:color="auto" w:fill="auto"/>
          </w:tcPr>
          <w:p w:rsidR="009F78A3" w:rsidRPr="00C05A94" w:rsidRDefault="009F78A3" w:rsidP="005F328B">
            <w:pPr>
              <w:pStyle w:val="BodyText2"/>
              <w:widowControl w:val="0"/>
              <w:numPr>
                <w:ilvl w:val="0"/>
                <w:numId w:val="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Examples: increase in women’s and children’s time available to spend with each other, improvement of relations between family members, etc.</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5F328B">
            <w:pPr>
              <w:pStyle w:val="BodyText2"/>
              <w:widowControl w:val="0"/>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Gender roles</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uto"/>
          </w:tcPr>
          <w:p w:rsidR="009F78A3" w:rsidRPr="00C05A94" w:rsidRDefault="009F78A3" w:rsidP="005F328B">
            <w:pPr>
              <w:pStyle w:val="BodyText2"/>
              <w:widowControl w:val="0"/>
              <w:numPr>
                <w:ilvl w:val="0"/>
                <w:numId w:val="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lastRenderedPageBreak/>
              <w:t xml:space="preserve">Examples: women or men taking on new roles in water collection or O&amp;M duties, women gaining income generating activities, etc. </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6A6A6" w:themeFill="background1" w:themeFillShade="A6"/>
          </w:tcPr>
          <w:p w:rsidR="009F78A3" w:rsidRPr="00C05A94" w:rsidRDefault="009F78A3" w:rsidP="005F328B">
            <w:pPr>
              <w:pStyle w:val="BodyText2"/>
              <w:numPr>
                <w:ilvl w:val="0"/>
                <w:numId w:val="14"/>
              </w:numPr>
              <w:spacing w:after="0" w:line="240" w:lineRule="auto"/>
              <w:rPr>
                <w:rFonts w:ascii="Times New Roman" w:hAnsi="Times New Roman" w:cs="Times New Roman"/>
                <w:b/>
                <w:sz w:val="20"/>
                <w:szCs w:val="20"/>
                <w:lang w:val="en-GB"/>
              </w:rPr>
            </w:pPr>
            <w:r w:rsidRPr="00C05A94">
              <w:rPr>
                <w:rFonts w:ascii="Times New Roman" w:hAnsi="Times New Roman" w:cs="Times New Roman"/>
                <w:b/>
                <w:sz w:val="20"/>
                <w:szCs w:val="20"/>
                <w:lang w:val="en-GB"/>
              </w:rPr>
              <w:t>Health impact</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5F328B">
            <w:pPr>
              <w:pStyle w:val="BodyText2"/>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Reduction of specific WASH related disease incidence</w:t>
            </w:r>
          </w:p>
        </w:tc>
      </w:tr>
      <w:tr w:rsidR="009F78A3" w:rsidRPr="00C05A94" w:rsidTr="00B31EE2">
        <w:trPr>
          <w:tblHeader/>
        </w:trPr>
        <w:tc>
          <w:tcPr>
            <w:tcW w:w="9426" w:type="dxa"/>
            <w:tcBorders>
              <w:top w:val="single" w:sz="4" w:space="0" w:color="auto"/>
              <w:left w:val="single" w:sz="4" w:space="0" w:color="auto"/>
              <w:bottom w:val="single" w:sz="4" w:space="0" w:color="auto"/>
              <w:right w:val="single" w:sz="4" w:space="0" w:color="auto"/>
            </w:tcBorders>
            <w:shd w:val="clear" w:color="auto" w:fill="auto"/>
          </w:tcPr>
          <w:p w:rsidR="009F78A3" w:rsidRPr="00C05A94" w:rsidRDefault="009F78A3" w:rsidP="005F328B">
            <w:pPr>
              <w:pStyle w:val="BodyText2"/>
              <w:numPr>
                <w:ilvl w:val="0"/>
                <w:numId w:val="7"/>
              </w:numPr>
              <w:spacing w:after="0" w:line="240" w:lineRule="auto"/>
              <w:ind w:left="284" w:hanging="284"/>
              <w:rPr>
                <w:rFonts w:ascii="Times New Roman" w:hAnsi="Times New Roman" w:cs="Times New Roman"/>
                <w:sz w:val="20"/>
                <w:szCs w:val="20"/>
                <w:lang w:val="en-GB"/>
              </w:rPr>
            </w:pPr>
            <w:r w:rsidRPr="00C05A94">
              <w:rPr>
                <w:rFonts w:ascii="Times New Roman" w:hAnsi="Times New Roman" w:cs="Times New Roman"/>
                <w:sz w:val="20"/>
                <w:szCs w:val="20"/>
                <w:lang w:val="en-GB"/>
              </w:rPr>
              <w:t>Example: Reduction on diarrh</w:t>
            </w:r>
            <w:r w:rsidR="00A06DF1" w:rsidRPr="00C05A94">
              <w:rPr>
                <w:rFonts w:ascii="Times New Roman" w:hAnsi="Times New Roman" w:cs="Times New Roman"/>
                <w:sz w:val="20"/>
                <w:szCs w:val="20"/>
                <w:lang w:val="en-GB"/>
              </w:rPr>
              <w:t>o</w:t>
            </w:r>
            <w:r w:rsidRPr="00C05A94">
              <w:rPr>
                <w:rFonts w:ascii="Times New Roman" w:hAnsi="Times New Roman" w:cs="Times New Roman"/>
                <w:sz w:val="20"/>
                <w:szCs w:val="20"/>
                <w:lang w:val="en-GB"/>
              </w:rPr>
              <w:t>ea, scabies, dysentery, cholera, malaria incidence</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5F328B">
            <w:pPr>
              <w:pStyle w:val="BodyText2"/>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Hygiene status</w:t>
            </w:r>
          </w:p>
        </w:tc>
      </w:tr>
      <w:tr w:rsidR="009F78A3" w:rsidRPr="00C05A94" w:rsidTr="00B31EE2">
        <w:trPr>
          <w:tblHeader/>
        </w:trPr>
        <w:tc>
          <w:tcPr>
            <w:tcW w:w="9426" w:type="dxa"/>
            <w:tcBorders>
              <w:top w:val="single" w:sz="4" w:space="0" w:color="auto"/>
              <w:left w:val="single" w:sz="4" w:space="0" w:color="auto"/>
              <w:bottom w:val="single" w:sz="4" w:space="0" w:color="auto"/>
              <w:right w:val="single" w:sz="4" w:space="0" w:color="auto"/>
            </w:tcBorders>
            <w:shd w:val="clear" w:color="auto" w:fill="auto"/>
          </w:tcPr>
          <w:p w:rsidR="009F78A3" w:rsidRPr="00C05A94" w:rsidRDefault="009F78A3" w:rsidP="005F328B">
            <w:pPr>
              <w:pStyle w:val="BodyText2"/>
              <w:numPr>
                <w:ilvl w:val="0"/>
                <w:numId w:val="7"/>
              </w:numPr>
              <w:spacing w:after="0" w:line="240" w:lineRule="auto"/>
              <w:ind w:left="284" w:hanging="284"/>
              <w:rPr>
                <w:rFonts w:ascii="Times New Roman" w:hAnsi="Times New Roman" w:cs="Times New Roman"/>
                <w:sz w:val="20"/>
                <w:szCs w:val="20"/>
                <w:lang w:val="en-GB"/>
              </w:rPr>
            </w:pPr>
            <w:r w:rsidRPr="00C05A94">
              <w:rPr>
                <w:rFonts w:ascii="Times New Roman" w:hAnsi="Times New Roman" w:cs="Times New Roman"/>
                <w:sz w:val="20"/>
                <w:szCs w:val="20"/>
                <w:lang w:val="en-GB"/>
              </w:rPr>
              <w:t>Examples: Cleanliness of household compound and domestic area (presence of dish rack, garbage pit, latrine), presence of f</w:t>
            </w:r>
            <w:r w:rsidR="00A06DF1" w:rsidRPr="00C05A94">
              <w:rPr>
                <w:rFonts w:ascii="Times New Roman" w:hAnsi="Times New Roman" w:cs="Times New Roman"/>
                <w:sz w:val="20"/>
                <w:szCs w:val="20"/>
                <w:lang w:val="en-GB"/>
              </w:rPr>
              <w:t>a</w:t>
            </w:r>
            <w:r w:rsidRPr="00C05A94">
              <w:rPr>
                <w:rFonts w:ascii="Times New Roman" w:hAnsi="Times New Roman" w:cs="Times New Roman"/>
                <w:sz w:val="20"/>
                <w:szCs w:val="20"/>
                <w:lang w:val="en-GB"/>
              </w:rPr>
              <w:t>eces in compounds</w:t>
            </w:r>
            <w:r w:rsidR="00C3370D" w:rsidRPr="00C05A94">
              <w:rPr>
                <w:rFonts w:ascii="Times New Roman" w:hAnsi="Times New Roman" w:cs="Times New Roman"/>
                <w:sz w:val="20"/>
                <w:szCs w:val="20"/>
                <w:lang w:val="en-GB"/>
              </w:rPr>
              <w:t xml:space="preserve"> and/or surface water</w:t>
            </w:r>
            <w:r w:rsidRPr="00C05A94">
              <w:rPr>
                <w:rFonts w:ascii="Times New Roman" w:hAnsi="Times New Roman" w:cs="Times New Roman"/>
                <w:sz w:val="20"/>
                <w:szCs w:val="20"/>
                <w:lang w:val="en-GB"/>
              </w:rPr>
              <w:t>, evidence of handwashing practice, evidence of use and maintenance of latrines, frequency of bathing and clothes washing, etc.</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5F328B">
            <w:pPr>
              <w:pStyle w:val="BodyText2"/>
              <w:numPr>
                <w:ilvl w:val="1"/>
                <w:numId w:val="14"/>
              </w:numPr>
              <w:spacing w:after="0" w:line="240" w:lineRule="auto"/>
              <w:rPr>
                <w:rFonts w:ascii="Times New Roman" w:hAnsi="Times New Roman" w:cs="Times New Roman"/>
                <w:sz w:val="20"/>
                <w:szCs w:val="20"/>
                <w:lang w:val="en-GB"/>
              </w:rPr>
            </w:pPr>
            <w:proofErr w:type="spellStart"/>
            <w:r w:rsidRPr="00C05A94">
              <w:rPr>
                <w:rFonts w:ascii="Times New Roman" w:hAnsi="Times New Roman" w:cs="Times New Roman"/>
                <w:sz w:val="20"/>
                <w:szCs w:val="20"/>
                <w:lang w:val="en-GB"/>
              </w:rPr>
              <w:t>Psico</w:t>
            </w:r>
            <w:proofErr w:type="spellEnd"/>
            <w:r w:rsidRPr="00C05A94">
              <w:rPr>
                <w:rFonts w:ascii="Times New Roman" w:hAnsi="Times New Roman" w:cs="Times New Roman"/>
                <w:sz w:val="20"/>
                <w:szCs w:val="20"/>
                <w:lang w:val="en-GB"/>
              </w:rPr>
              <w:t>-social status</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uto"/>
          </w:tcPr>
          <w:p w:rsidR="009F78A3" w:rsidRPr="00C05A94" w:rsidRDefault="009F78A3" w:rsidP="005F328B">
            <w:pPr>
              <w:pStyle w:val="BodyText2"/>
              <w:numPr>
                <w:ilvl w:val="0"/>
                <w:numId w:val="7"/>
              </w:numPr>
              <w:spacing w:after="0" w:line="240" w:lineRule="auto"/>
              <w:ind w:left="284" w:hanging="284"/>
              <w:rPr>
                <w:rFonts w:ascii="Times New Roman" w:hAnsi="Times New Roman" w:cs="Times New Roman"/>
                <w:sz w:val="20"/>
                <w:szCs w:val="20"/>
                <w:lang w:val="en-GB"/>
              </w:rPr>
            </w:pPr>
            <w:r w:rsidRPr="00C05A94">
              <w:rPr>
                <w:rFonts w:ascii="Times New Roman" w:hAnsi="Times New Roman" w:cs="Times New Roman"/>
                <w:sz w:val="20"/>
                <w:szCs w:val="20"/>
                <w:lang w:val="en-GB"/>
              </w:rPr>
              <w:t xml:space="preserve">Examples: level of stress and anxiety about children or women going to fetch water, number of animal attacks (e.g. snakes) or human attacks (e.g. rapes) of those fetching water, increase sense of pride, order, and harmony, household status and self-regard,  perception of household in regards to </w:t>
            </w:r>
            <w:r w:rsidR="00A06DF1" w:rsidRPr="00C05A94">
              <w:rPr>
                <w:rFonts w:ascii="Times New Roman" w:hAnsi="Times New Roman" w:cs="Times New Roman"/>
                <w:sz w:val="20"/>
                <w:szCs w:val="20"/>
                <w:lang w:val="en-GB"/>
              </w:rPr>
              <w:t>neighbours</w:t>
            </w:r>
            <w:r w:rsidRPr="00C05A94">
              <w:rPr>
                <w:rFonts w:ascii="Times New Roman" w:hAnsi="Times New Roman" w:cs="Times New Roman"/>
                <w:sz w:val="20"/>
                <w:szCs w:val="20"/>
                <w:lang w:val="en-GB"/>
              </w:rPr>
              <w:t xml:space="preserve">, </w:t>
            </w:r>
          </w:p>
        </w:tc>
      </w:tr>
      <w:tr w:rsidR="009F78A3" w:rsidRPr="00C05A94" w:rsidTr="00B31EE2">
        <w:tc>
          <w:tcPr>
            <w:tcW w:w="9426" w:type="dxa"/>
            <w:tcBorders>
              <w:left w:val="single" w:sz="4" w:space="0" w:color="auto"/>
              <w:right w:val="single" w:sz="4" w:space="0" w:color="auto"/>
            </w:tcBorders>
            <w:shd w:val="clear" w:color="auto" w:fill="A6A6A6" w:themeFill="background1" w:themeFillShade="A6"/>
          </w:tcPr>
          <w:p w:rsidR="009F78A3" w:rsidRPr="00C05A94" w:rsidRDefault="009F78A3" w:rsidP="005F328B">
            <w:pPr>
              <w:pStyle w:val="BodyText2"/>
              <w:numPr>
                <w:ilvl w:val="0"/>
                <w:numId w:val="14"/>
              </w:numPr>
              <w:spacing w:after="0" w:line="240" w:lineRule="auto"/>
              <w:rPr>
                <w:rFonts w:ascii="Times New Roman" w:hAnsi="Times New Roman" w:cs="Times New Roman"/>
                <w:b/>
                <w:sz w:val="20"/>
                <w:szCs w:val="20"/>
                <w:lang w:val="en-GB"/>
              </w:rPr>
            </w:pPr>
            <w:r w:rsidRPr="00C05A94">
              <w:rPr>
                <w:rFonts w:ascii="Times New Roman" w:hAnsi="Times New Roman" w:cs="Times New Roman"/>
                <w:b/>
                <w:sz w:val="20"/>
                <w:szCs w:val="20"/>
                <w:lang w:val="en-GB"/>
              </w:rPr>
              <w:t>Impact on education</w:t>
            </w:r>
          </w:p>
        </w:tc>
      </w:tr>
      <w:tr w:rsidR="009F78A3" w:rsidRPr="00C05A94" w:rsidTr="00B31EE2">
        <w:tc>
          <w:tcPr>
            <w:tcW w:w="9426" w:type="dxa"/>
            <w:tcBorders>
              <w:left w:val="single" w:sz="4" w:space="0" w:color="auto"/>
              <w:right w:val="single" w:sz="4" w:space="0" w:color="auto"/>
            </w:tcBorders>
            <w:shd w:val="clear" w:color="auto" w:fill="EEECE1" w:themeFill="background2"/>
          </w:tcPr>
          <w:p w:rsidR="009F78A3" w:rsidRPr="00C05A94" w:rsidRDefault="009F78A3" w:rsidP="005F328B">
            <w:pPr>
              <w:pStyle w:val="BodyText2"/>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School attendance</w:t>
            </w:r>
          </w:p>
        </w:tc>
      </w:tr>
      <w:tr w:rsidR="009F78A3" w:rsidRPr="00C05A94" w:rsidTr="00B31EE2">
        <w:tc>
          <w:tcPr>
            <w:tcW w:w="9426" w:type="dxa"/>
            <w:tcBorders>
              <w:left w:val="single" w:sz="4" w:space="0" w:color="auto"/>
              <w:right w:val="single" w:sz="4" w:space="0" w:color="auto"/>
            </w:tcBorders>
          </w:tcPr>
          <w:p w:rsidR="009F78A3" w:rsidRPr="00C05A94" w:rsidRDefault="009F78A3" w:rsidP="005F328B">
            <w:pPr>
              <w:pStyle w:val="BodyText2"/>
              <w:widowControl w:val="0"/>
              <w:numPr>
                <w:ilvl w:val="0"/>
                <w:numId w:val="8"/>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Examples: number of children inscribed in school registers, punctuality of children coming to school, etc.</w:t>
            </w:r>
          </w:p>
        </w:tc>
      </w:tr>
      <w:tr w:rsidR="009F78A3" w:rsidRPr="00C05A94" w:rsidTr="00B31EE2">
        <w:tc>
          <w:tcPr>
            <w:tcW w:w="9426" w:type="dxa"/>
            <w:tcBorders>
              <w:left w:val="single" w:sz="4" w:space="0" w:color="auto"/>
              <w:right w:val="single" w:sz="4" w:space="0" w:color="auto"/>
            </w:tcBorders>
            <w:shd w:val="clear" w:color="auto" w:fill="EEECE1" w:themeFill="background2"/>
          </w:tcPr>
          <w:p w:rsidR="009F78A3" w:rsidRPr="00C05A94" w:rsidRDefault="009F78A3" w:rsidP="005F328B">
            <w:pPr>
              <w:pStyle w:val="BodyText2"/>
              <w:numPr>
                <w:ilvl w:val="1"/>
                <w:numId w:val="14"/>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Children retention and absenteeism</w:t>
            </w:r>
          </w:p>
        </w:tc>
      </w:tr>
      <w:tr w:rsidR="009F78A3" w:rsidRPr="00C05A94" w:rsidTr="00662E4C">
        <w:tc>
          <w:tcPr>
            <w:tcW w:w="9426" w:type="dxa"/>
            <w:tcBorders>
              <w:left w:val="single" w:sz="4" w:space="0" w:color="auto"/>
              <w:bottom w:val="single" w:sz="4" w:space="0" w:color="auto"/>
              <w:right w:val="single" w:sz="4" w:space="0" w:color="auto"/>
            </w:tcBorders>
          </w:tcPr>
          <w:p w:rsidR="009F78A3" w:rsidRPr="00C05A94" w:rsidRDefault="009F78A3" w:rsidP="005F328B">
            <w:pPr>
              <w:pStyle w:val="BodyText2"/>
              <w:widowControl w:val="0"/>
              <w:numPr>
                <w:ilvl w:val="0"/>
                <w:numId w:val="9"/>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Examples: percentage of inscribed children leaving class part way through the day, or not coming to school at all.</w:t>
            </w:r>
          </w:p>
        </w:tc>
      </w:tr>
      <w:tr w:rsidR="00662E4C" w:rsidRPr="00C05A94" w:rsidTr="00C3370D">
        <w:tc>
          <w:tcPr>
            <w:tcW w:w="9426" w:type="dxa"/>
            <w:tcBorders>
              <w:left w:val="single" w:sz="4" w:space="0" w:color="auto"/>
              <w:bottom w:val="single" w:sz="4" w:space="0" w:color="auto"/>
              <w:right w:val="single" w:sz="4" w:space="0" w:color="auto"/>
            </w:tcBorders>
            <w:shd w:val="clear" w:color="auto" w:fill="A6A6A6" w:themeFill="background1" w:themeFillShade="A6"/>
          </w:tcPr>
          <w:p w:rsidR="00662E4C" w:rsidRPr="00C05A94" w:rsidRDefault="00662E4C" w:rsidP="00662E4C">
            <w:pPr>
              <w:pStyle w:val="BodyText2"/>
              <w:widowControl w:val="0"/>
              <w:numPr>
                <w:ilvl w:val="0"/>
                <w:numId w:val="14"/>
              </w:numPr>
              <w:spacing w:after="0" w:line="240" w:lineRule="auto"/>
              <w:rPr>
                <w:rFonts w:ascii="Times New Roman" w:hAnsi="Times New Roman" w:cs="Times New Roman"/>
                <w:b/>
                <w:sz w:val="20"/>
                <w:szCs w:val="20"/>
                <w:lang w:val="en-GB"/>
              </w:rPr>
            </w:pPr>
            <w:r w:rsidRPr="00C05A94">
              <w:rPr>
                <w:rFonts w:ascii="Times New Roman" w:hAnsi="Times New Roman" w:cs="Times New Roman"/>
                <w:b/>
                <w:sz w:val="20"/>
                <w:szCs w:val="20"/>
                <w:lang w:val="en-GB"/>
              </w:rPr>
              <w:t>Environmental impact</w:t>
            </w:r>
          </w:p>
        </w:tc>
      </w:tr>
      <w:tr w:rsidR="00662E4C" w:rsidRPr="00C05A94" w:rsidTr="00C3370D">
        <w:tc>
          <w:tcPr>
            <w:tcW w:w="9426" w:type="dxa"/>
            <w:tcBorders>
              <w:left w:val="single" w:sz="4" w:space="0" w:color="auto"/>
              <w:bottom w:val="single" w:sz="4" w:space="0" w:color="auto"/>
              <w:right w:val="single" w:sz="4" w:space="0" w:color="auto"/>
            </w:tcBorders>
            <w:shd w:val="clear" w:color="auto" w:fill="EEECE1" w:themeFill="background2"/>
          </w:tcPr>
          <w:p w:rsidR="00662E4C" w:rsidRPr="00C05A94" w:rsidRDefault="00C3370D" w:rsidP="00C3370D">
            <w:pPr>
              <w:pStyle w:val="BodyText2"/>
              <w:widowControl w:val="0"/>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Changes in the groundwater</w:t>
            </w:r>
          </w:p>
        </w:tc>
      </w:tr>
      <w:tr w:rsidR="00662E4C" w:rsidRPr="00C05A94" w:rsidTr="00C3370D">
        <w:tc>
          <w:tcPr>
            <w:tcW w:w="9426" w:type="dxa"/>
            <w:tcBorders>
              <w:left w:val="single" w:sz="4" w:space="0" w:color="auto"/>
              <w:bottom w:val="single" w:sz="4" w:space="0" w:color="auto"/>
              <w:right w:val="single" w:sz="4" w:space="0" w:color="auto"/>
            </w:tcBorders>
          </w:tcPr>
          <w:p w:rsidR="00662E4C" w:rsidRPr="00C05A94" w:rsidRDefault="00C3370D" w:rsidP="00C3370D">
            <w:pPr>
              <w:pStyle w:val="BodyText2"/>
              <w:widowControl w:val="0"/>
              <w:numPr>
                <w:ilvl w:val="0"/>
                <w:numId w:val="9"/>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rPr>
              <w:t>Examples: evidence of groundwater contamination (fecal contamination, arsenic, mercury, etc.), groundwater flows altered by well overdrawing,  salt-water intrusion in aquifer in coastal or island areas, decrease of water table in locally or in downstream or down-gradient locations</w:t>
            </w:r>
            <w:r w:rsidR="00BC4E97" w:rsidRPr="00C05A94">
              <w:rPr>
                <w:rFonts w:ascii="Times New Roman" w:hAnsi="Times New Roman" w:cs="Times New Roman"/>
                <w:sz w:val="20"/>
                <w:szCs w:val="20"/>
              </w:rPr>
              <w:t>.</w:t>
            </w:r>
          </w:p>
        </w:tc>
      </w:tr>
      <w:tr w:rsidR="00662E4C" w:rsidRPr="00C05A94" w:rsidTr="00C3370D">
        <w:tc>
          <w:tcPr>
            <w:tcW w:w="9426" w:type="dxa"/>
            <w:tcBorders>
              <w:left w:val="single" w:sz="4" w:space="0" w:color="auto"/>
              <w:bottom w:val="single" w:sz="4" w:space="0" w:color="auto"/>
              <w:right w:val="single" w:sz="4" w:space="0" w:color="auto"/>
            </w:tcBorders>
            <w:shd w:val="clear" w:color="auto" w:fill="EEECE1" w:themeFill="background2"/>
          </w:tcPr>
          <w:p w:rsidR="00662E4C" w:rsidRPr="00C05A94" w:rsidRDefault="00C3370D" w:rsidP="00C3370D">
            <w:pPr>
              <w:pStyle w:val="BodyText2"/>
              <w:widowControl w:val="0"/>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Degradation of ecosystem</w:t>
            </w:r>
          </w:p>
        </w:tc>
      </w:tr>
      <w:tr w:rsidR="00662E4C" w:rsidRPr="00C05A94" w:rsidTr="00281BAE">
        <w:tc>
          <w:tcPr>
            <w:tcW w:w="9426" w:type="dxa"/>
            <w:tcBorders>
              <w:left w:val="single" w:sz="4" w:space="0" w:color="auto"/>
              <w:bottom w:val="single" w:sz="4" w:space="0" w:color="auto"/>
              <w:right w:val="single" w:sz="4" w:space="0" w:color="auto"/>
            </w:tcBorders>
          </w:tcPr>
          <w:p w:rsidR="00662E4C" w:rsidRPr="00C05A94" w:rsidRDefault="00C3370D" w:rsidP="00BC4E97">
            <w:pPr>
              <w:pStyle w:val="BodyText2"/>
              <w:widowControl w:val="0"/>
              <w:numPr>
                <w:ilvl w:val="0"/>
                <w:numId w:val="9"/>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 xml:space="preserve">Examples: </w:t>
            </w:r>
            <w:r w:rsidR="004F5490" w:rsidRPr="00C05A94">
              <w:rPr>
                <w:rFonts w:ascii="Times New Roman" w:hAnsi="Times New Roman" w:cs="Times New Roman"/>
                <w:sz w:val="20"/>
                <w:szCs w:val="20"/>
                <w:lang w:val="en-GB"/>
              </w:rPr>
              <w:t>Loss of biodiversity</w:t>
            </w:r>
            <w:r w:rsidR="00BC4E97" w:rsidRPr="00C05A94">
              <w:rPr>
                <w:rFonts w:ascii="Times New Roman" w:hAnsi="Times New Roman" w:cs="Times New Roman"/>
                <w:sz w:val="20"/>
                <w:szCs w:val="20"/>
                <w:lang w:val="en-GB"/>
              </w:rPr>
              <w:t xml:space="preserve"> (flora and fauna)</w:t>
            </w:r>
            <w:r w:rsidR="004F5490" w:rsidRPr="00C05A94">
              <w:rPr>
                <w:rFonts w:ascii="Times New Roman" w:hAnsi="Times New Roman" w:cs="Times New Roman"/>
                <w:sz w:val="20"/>
                <w:szCs w:val="20"/>
                <w:lang w:val="en-GB"/>
              </w:rPr>
              <w:t>, soil erosion (</w:t>
            </w:r>
            <w:r w:rsidR="00BC4E97" w:rsidRPr="00C05A94">
              <w:rPr>
                <w:rFonts w:ascii="Times New Roman" w:hAnsi="Times New Roman" w:cs="Times New Roman"/>
                <w:sz w:val="20"/>
                <w:szCs w:val="20"/>
                <w:lang w:val="en-GB"/>
              </w:rPr>
              <w:t xml:space="preserve">e.g. </w:t>
            </w:r>
            <w:r w:rsidR="004F5490" w:rsidRPr="00C05A94">
              <w:rPr>
                <w:rFonts w:ascii="Times New Roman" w:hAnsi="Times New Roman" w:cs="Times New Roman"/>
                <w:sz w:val="20"/>
                <w:szCs w:val="20"/>
                <w:lang w:val="en-GB"/>
              </w:rPr>
              <w:t xml:space="preserve">from pipe leakage or poor drainage taps), </w:t>
            </w:r>
            <w:r w:rsidR="00BC4E97" w:rsidRPr="00C05A94">
              <w:rPr>
                <w:rFonts w:ascii="Times New Roman" w:hAnsi="Times New Roman" w:cs="Times New Roman"/>
                <w:sz w:val="20"/>
                <w:szCs w:val="20"/>
                <w:lang w:val="en-GB"/>
              </w:rPr>
              <w:t>alteration of river beds (e.g. by sedimentation, flooding, faecal material, etc.), land subsidence (e.g. by exhaustion of groundwater), loss of economic productivity, increase of breeding place for disease vector.</w:t>
            </w:r>
          </w:p>
        </w:tc>
      </w:tr>
      <w:tr w:rsidR="00281BAE" w:rsidRPr="00C05A94" w:rsidTr="00281BAE">
        <w:tc>
          <w:tcPr>
            <w:tcW w:w="9426" w:type="dxa"/>
            <w:tcBorders>
              <w:left w:val="single" w:sz="4" w:space="0" w:color="auto"/>
              <w:bottom w:val="single" w:sz="4" w:space="0" w:color="auto"/>
              <w:right w:val="single" w:sz="4" w:space="0" w:color="auto"/>
            </w:tcBorders>
            <w:shd w:val="clear" w:color="auto" w:fill="A6A6A6" w:themeFill="background1" w:themeFillShade="A6"/>
          </w:tcPr>
          <w:p w:rsidR="00281BAE" w:rsidRPr="00C05A94" w:rsidRDefault="00017312" w:rsidP="00281BAE">
            <w:pPr>
              <w:pStyle w:val="BodyText2"/>
              <w:widowControl w:val="0"/>
              <w:numPr>
                <w:ilvl w:val="0"/>
                <w:numId w:val="14"/>
              </w:numPr>
              <w:spacing w:after="0" w:line="240" w:lineRule="auto"/>
              <w:rPr>
                <w:rFonts w:ascii="Times New Roman" w:hAnsi="Times New Roman" w:cs="Times New Roman"/>
                <w:b/>
                <w:sz w:val="20"/>
                <w:szCs w:val="20"/>
                <w:lang w:val="en-GB"/>
              </w:rPr>
            </w:pPr>
            <w:r w:rsidRPr="00C05A94">
              <w:rPr>
                <w:rFonts w:ascii="Times New Roman" w:hAnsi="Times New Roman" w:cs="Times New Roman"/>
                <w:b/>
                <w:sz w:val="20"/>
                <w:szCs w:val="20"/>
                <w:lang w:val="en-GB"/>
              </w:rPr>
              <w:t>Impact on the NS</w:t>
            </w:r>
            <w:r w:rsidR="00281BAE" w:rsidRPr="00C05A94">
              <w:rPr>
                <w:rFonts w:ascii="Times New Roman" w:hAnsi="Times New Roman" w:cs="Times New Roman"/>
                <w:b/>
                <w:sz w:val="20"/>
                <w:szCs w:val="20"/>
                <w:lang w:val="en-GB"/>
              </w:rPr>
              <w:t xml:space="preserve"> (Organizational Development)</w:t>
            </w:r>
          </w:p>
        </w:tc>
      </w:tr>
      <w:tr w:rsidR="00281BAE" w:rsidRPr="00C05A94" w:rsidTr="00281BAE">
        <w:tc>
          <w:tcPr>
            <w:tcW w:w="9426" w:type="dxa"/>
            <w:tcBorders>
              <w:left w:val="single" w:sz="4" w:space="0" w:color="auto"/>
              <w:right w:val="single" w:sz="4" w:space="0" w:color="auto"/>
            </w:tcBorders>
            <w:shd w:val="clear" w:color="auto" w:fill="F2F2F2" w:themeFill="background1" w:themeFillShade="F2"/>
          </w:tcPr>
          <w:p w:rsidR="00281BAE" w:rsidRPr="00C05A94" w:rsidRDefault="00281BAE" w:rsidP="00281BAE">
            <w:pPr>
              <w:pStyle w:val="BodyText2"/>
              <w:widowControl w:val="0"/>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Volunteers &amp; NS staff activity</w:t>
            </w:r>
          </w:p>
        </w:tc>
      </w:tr>
      <w:tr w:rsidR="00281BAE" w:rsidRPr="00C05A94" w:rsidTr="002941C4">
        <w:tc>
          <w:tcPr>
            <w:tcW w:w="9426" w:type="dxa"/>
            <w:tcBorders>
              <w:left w:val="single" w:sz="4" w:space="0" w:color="auto"/>
              <w:bottom w:val="single" w:sz="4" w:space="0" w:color="auto"/>
              <w:right w:val="single" w:sz="4" w:space="0" w:color="auto"/>
            </w:tcBorders>
          </w:tcPr>
          <w:p w:rsidR="00281BAE" w:rsidRPr="00C05A94" w:rsidRDefault="00281BAE" w:rsidP="00281BAE">
            <w:pPr>
              <w:pStyle w:val="BodyText2"/>
              <w:widowControl w:val="0"/>
              <w:numPr>
                <w:ilvl w:val="0"/>
                <w:numId w:val="9"/>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Examples: People involved in the project activities that have volunteered at least four hours during t</w:t>
            </w:r>
            <w:r w:rsidR="00017312" w:rsidRPr="00C05A94">
              <w:rPr>
                <w:rFonts w:ascii="Times New Roman" w:hAnsi="Times New Roman" w:cs="Times New Roman"/>
                <w:sz w:val="20"/>
                <w:szCs w:val="20"/>
                <w:lang w:val="en-GB"/>
              </w:rPr>
              <w:t>he last month</w:t>
            </w:r>
            <w:r w:rsidRPr="00C05A94">
              <w:rPr>
                <w:rFonts w:ascii="Times New Roman" w:hAnsi="Times New Roman" w:cs="Times New Roman"/>
                <w:sz w:val="20"/>
                <w:szCs w:val="20"/>
                <w:lang w:val="en-GB"/>
              </w:rPr>
              <w:t>, project staff that have remained employed in the NS structure for an</w:t>
            </w:r>
            <w:r w:rsidR="00017312" w:rsidRPr="00C05A94">
              <w:rPr>
                <w:rFonts w:ascii="Times New Roman" w:hAnsi="Times New Roman" w:cs="Times New Roman"/>
                <w:sz w:val="20"/>
                <w:szCs w:val="20"/>
                <w:lang w:val="en-GB"/>
              </w:rPr>
              <w:t xml:space="preserve"> additional period of at least one</w:t>
            </w:r>
            <w:r w:rsidRPr="00C05A94">
              <w:rPr>
                <w:rFonts w:ascii="Times New Roman" w:hAnsi="Times New Roman" w:cs="Times New Roman"/>
                <w:sz w:val="20"/>
                <w:szCs w:val="20"/>
                <w:lang w:val="en-GB"/>
              </w:rPr>
              <w:t xml:space="preserve"> year.</w:t>
            </w:r>
          </w:p>
        </w:tc>
      </w:tr>
      <w:tr w:rsidR="002941C4" w:rsidRPr="00C05A94" w:rsidTr="002941C4">
        <w:tc>
          <w:tcPr>
            <w:tcW w:w="9426" w:type="dxa"/>
            <w:tcBorders>
              <w:left w:val="single" w:sz="4" w:space="0" w:color="auto"/>
              <w:right w:val="single" w:sz="4" w:space="0" w:color="auto"/>
            </w:tcBorders>
            <w:shd w:val="clear" w:color="auto" w:fill="F2F2F2" w:themeFill="background1" w:themeFillShade="F2"/>
          </w:tcPr>
          <w:p w:rsidR="002941C4" w:rsidRPr="00C05A94" w:rsidRDefault="002941C4" w:rsidP="002941C4">
            <w:pPr>
              <w:pStyle w:val="BodyText2"/>
              <w:widowControl w:val="0"/>
              <w:numPr>
                <w:ilvl w:val="1"/>
                <w:numId w:val="1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Partnerships</w:t>
            </w:r>
          </w:p>
        </w:tc>
      </w:tr>
      <w:tr w:rsidR="002941C4" w:rsidRPr="00C05A94" w:rsidTr="00281BAE">
        <w:tc>
          <w:tcPr>
            <w:tcW w:w="9426" w:type="dxa"/>
            <w:tcBorders>
              <w:left w:val="single" w:sz="4" w:space="0" w:color="auto"/>
              <w:bottom w:val="single" w:sz="4" w:space="0" w:color="auto"/>
              <w:right w:val="single" w:sz="4" w:space="0" w:color="auto"/>
            </w:tcBorders>
          </w:tcPr>
          <w:p w:rsidR="002941C4" w:rsidRPr="00C05A94" w:rsidRDefault="002941C4" w:rsidP="00281BAE">
            <w:pPr>
              <w:pStyle w:val="BodyText2"/>
              <w:widowControl w:val="0"/>
              <w:numPr>
                <w:ilvl w:val="0"/>
                <w:numId w:val="9"/>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Examples: additional partnerships forged with local authorities and local NGOs as a direct result of project activities.</w:t>
            </w:r>
          </w:p>
        </w:tc>
      </w:tr>
    </w:tbl>
    <w:p w:rsidR="00530A77" w:rsidRDefault="00530A77">
      <w:pPr>
        <w:rPr>
          <w:rFonts w:ascii="Times New Roman" w:eastAsia="SimSun" w:hAnsi="Times New Roman" w:cs="Times New Roman"/>
          <w:b/>
          <w:sz w:val="24"/>
          <w:szCs w:val="24"/>
          <w:lang w:val="en-GB" w:eastAsia="zh-CN"/>
        </w:rPr>
      </w:pPr>
    </w:p>
    <w:p w:rsidR="0065351E" w:rsidRPr="00530A77" w:rsidRDefault="00251DAF" w:rsidP="00530A77">
      <w:pPr>
        <w:pStyle w:val="ListParagraph"/>
        <w:numPr>
          <w:ilvl w:val="0"/>
          <w:numId w:val="33"/>
        </w:numPr>
        <w:spacing w:line="240" w:lineRule="auto"/>
        <w:jc w:val="both"/>
        <w:rPr>
          <w:rFonts w:ascii="Times New Roman" w:hAnsi="Times New Roman"/>
          <w:b/>
          <w:sz w:val="28"/>
          <w:szCs w:val="28"/>
          <w:lang w:val="en-GB"/>
        </w:rPr>
      </w:pPr>
      <w:r w:rsidRPr="00530A77">
        <w:rPr>
          <w:rFonts w:ascii="Times New Roman" w:hAnsi="Times New Roman"/>
          <w:b/>
          <w:sz w:val="28"/>
          <w:szCs w:val="28"/>
          <w:lang w:val="en-GB"/>
        </w:rPr>
        <w:t>Sustainability criteria</w:t>
      </w:r>
    </w:p>
    <w:p w:rsidR="00E35FC5" w:rsidRPr="00816BFB" w:rsidRDefault="00E35FC5" w:rsidP="00E35FC5">
      <w:pPr>
        <w:pStyle w:val="ListParagraph"/>
        <w:spacing w:line="240" w:lineRule="auto"/>
        <w:jc w:val="both"/>
        <w:rPr>
          <w:rFonts w:ascii="Times New Roman" w:hAnsi="Times New Roman"/>
          <w:b/>
          <w:sz w:val="24"/>
          <w:szCs w:val="24"/>
          <w:lang w:val="en-GB"/>
        </w:rPr>
      </w:pPr>
    </w:p>
    <w:p w:rsidR="00427396" w:rsidRPr="00816BFB" w:rsidRDefault="00427396" w:rsidP="00530A77">
      <w:pPr>
        <w:pStyle w:val="ListParagraph"/>
        <w:tabs>
          <w:tab w:val="left" w:pos="284"/>
        </w:tabs>
        <w:spacing w:after="120" w:line="240" w:lineRule="auto"/>
        <w:ind w:left="0"/>
        <w:contextualSpacing w:val="0"/>
        <w:jc w:val="both"/>
        <w:rPr>
          <w:rFonts w:ascii="Times New Roman" w:hAnsi="Times New Roman"/>
          <w:lang w:val="en-GB"/>
        </w:rPr>
      </w:pPr>
      <w:r w:rsidRPr="00816BFB">
        <w:rPr>
          <w:rFonts w:ascii="Times New Roman" w:hAnsi="Times New Roman"/>
          <w:lang w:val="en-GB"/>
        </w:rPr>
        <w:t xml:space="preserve">A sustainable action </w:t>
      </w:r>
      <w:r w:rsidR="0065351E" w:rsidRPr="00816BFB">
        <w:rPr>
          <w:rFonts w:ascii="Times New Roman" w:hAnsi="Times New Roman"/>
          <w:lang w:val="en-GB"/>
        </w:rPr>
        <w:t xml:space="preserve">is defined in the </w:t>
      </w:r>
      <w:r w:rsidR="00530A77">
        <w:rPr>
          <w:rFonts w:ascii="Times New Roman" w:hAnsi="Times New Roman"/>
          <w:lang w:val="en-GB"/>
        </w:rPr>
        <w:t xml:space="preserve">look-back study </w:t>
      </w:r>
      <w:r w:rsidRPr="00816BFB">
        <w:rPr>
          <w:rFonts w:ascii="Times New Roman" w:hAnsi="Times New Roman"/>
          <w:lang w:val="en-GB"/>
        </w:rPr>
        <w:t xml:space="preserve">‘an action that is economically viable, socially acceptable, technically and institutionally appropriate, and that protects the environment’. The definition </w:t>
      </w:r>
      <w:r w:rsidR="00530A77">
        <w:rPr>
          <w:rFonts w:ascii="Times New Roman" w:hAnsi="Times New Roman"/>
          <w:lang w:val="en-GB"/>
        </w:rPr>
        <w:t>can be</w:t>
      </w:r>
      <w:r w:rsidRPr="00816BFB">
        <w:rPr>
          <w:rFonts w:ascii="Times New Roman" w:hAnsi="Times New Roman"/>
          <w:lang w:val="en-GB"/>
        </w:rPr>
        <w:t xml:space="preserve"> translated in </w:t>
      </w:r>
      <w:r w:rsidRPr="00816BFB">
        <w:rPr>
          <w:rFonts w:ascii="Times New Roman" w:hAnsi="Times New Roman"/>
          <w:b/>
          <w:lang w:val="en-GB"/>
        </w:rPr>
        <w:t>four evaluation criteria</w:t>
      </w:r>
      <w:r w:rsidRPr="00816BFB">
        <w:rPr>
          <w:rFonts w:ascii="Times New Roman" w:hAnsi="Times New Roman"/>
          <w:lang w:val="en-GB"/>
        </w:rPr>
        <w:t xml:space="preserve"> </w:t>
      </w:r>
      <w:r w:rsidR="00530A77">
        <w:rPr>
          <w:rFonts w:ascii="Times New Roman" w:hAnsi="Times New Roman"/>
          <w:lang w:val="en-GB"/>
        </w:rPr>
        <w:t>to better structure the study</w:t>
      </w:r>
      <w:r w:rsidR="0065351E" w:rsidRPr="00816BFB">
        <w:rPr>
          <w:rFonts w:ascii="Times New Roman" w:hAnsi="Times New Roman"/>
          <w:lang w:val="en-GB"/>
        </w:rPr>
        <w:t xml:space="preserve"> and also the collection of data on the ground, </w:t>
      </w:r>
      <w:r w:rsidRPr="00816BFB">
        <w:rPr>
          <w:rFonts w:ascii="Times New Roman" w:hAnsi="Times New Roman"/>
          <w:lang w:val="en-GB"/>
        </w:rPr>
        <w:t>as follows:</w:t>
      </w:r>
    </w:p>
    <w:p w:rsidR="00427396" w:rsidRPr="00816BFB" w:rsidRDefault="00427396" w:rsidP="005F328B">
      <w:pPr>
        <w:pStyle w:val="ListParagraph"/>
        <w:numPr>
          <w:ilvl w:val="0"/>
          <w:numId w:val="2"/>
        </w:numPr>
        <w:spacing w:after="120" w:line="240" w:lineRule="auto"/>
        <w:rPr>
          <w:rFonts w:ascii="Times New Roman" w:hAnsi="Times New Roman"/>
          <w:lang w:val="en-GB"/>
        </w:rPr>
      </w:pPr>
      <w:r w:rsidRPr="00816BFB">
        <w:rPr>
          <w:rFonts w:ascii="Times New Roman" w:hAnsi="Times New Roman"/>
          <w:lang w:val="en-GB"/>
        </w:rPr>
        <w:t>Economic viability: Analysis of Cost Recovery aspects.</w:t>
      </w:r>
    </w:p>
    <w:p w:rsidR="00427396" w:rsidRPr="00816BFB" w:rsidRDefault="00427396" w:rsidP="005F328B">
      <w:pPr>
        <w:pStyle w:val="ListParagraph"/>
        <w:numPr>
          <w:ilvl w:val="0"/>
          <w:numId w:val="2"/>
        </w:numPr>
        <w:spacing w:after="120" w:line="240" w:lineRule="auto"/>
        <w:rPr>
          <w:rFonts w:ascii="Times New Roman" w:hAnsi="Times New Roman"/>
          <w:lang w:val="en-GB"/>
        </w:rPr>
      </w:pPr>
      <w:r w:rsidRPr="00816BFB">
        <w:rPr>
          <w:rFonts w:ascii="Times New Roman" w:hAnsi="Times New Roman"/>
          <w:lang w:val="en-GB"/>
        </w:rPr>
        <w:t>Social acceptance: Demand-driven vs. Supply-driven approach.</w:t>
      </w:r>
    </w:p>
    <w:p w:rsidR="00427396" w:rsidRPr="00816BFB" w:rsidRDefault="00427396" w:rsidP="005F328B">
      <w:pPr>
        <w:pStyle w:val="ListParagraph"/>
        <w:numPr>
          <w:ilvl w:val="0"/>
          <w:numId w:val="2"/>
        </w:numPr>
        <w:spacing w:after="120" w:line="240" w:lineRule="auto"/>
        <w:rPr>
          <w:rFonts w:ascii="Times New Roman" w:hAnsi="Times New Roman"/>
          <w:lang w:val="en-GB"/>
        </w:rPr>
      </w:pPr>
      <w:r w:rsidRPr="00816BFB">
        <w:rPr>
          <w:rFonts w:ascii="Times New Roman" w:hAnsi="Times New Roman"/>
          <w:lang w:val="en-GB"/>
        </w:rPr>
        <w:t>Technical appropriateness: Affordable and viable technical solutions.</w:t>
      </w:r>
    </w:p>
    <w:p w:rsidR="00427396" w:rsidRPr="00816BFB" w:rsidRDefault="00427396" w:rsidP="005F328B">
      <w:pPr>
        <w:pStyle w:val="ListParagraph"/>
        <w:numPr>
          <w:ilvl w:val="0"/>
          <w:numId w:val="2"/>
        </w:numPr>
        <w:spacing w:after="120" w:line="240" w:lineRule="auto"/>
        <w:rPr>
          <w:rFonts w:ascii="Times New Roman" w:hAnsi="Times New Roman"/>
          <w:lang w:val="en-GB"/>
        </w:rPr>
      </w:pPr>
      <w:r w:rsidRPr="00816BFB">
        <w:rPr>
          <w:rFonts w:ascii="Times New Roman" w:hAnsi="Times New Roman"/>
          <w:lang w:val="en-GB"/>
        </w:rPr>
        <w:t>Institutional appropriateness: Exit strategy and CBM.</w:t>
      </w:r>
    </w:p>
    <w:p w:rsidR="002941C4" w:rsidRPr="00816BFB" w:rsidRDefault="00427396" w:rsidP="00427396">
      <w:pPr>
        <w:spacing w:line="240" w:lineRule="auto"/>
        <w:jc w:val="both"/>
        <w:rPr>
          <w:rFonts w:ascii="Times New Roman" w:hAnsi="Times New Roman" w:cs="Times New Roman"/>
          <w:lang w:val="en-GB"/>
        </w:rPr>
      </w:pPr>
      <w:r w:rsidRPr="00816BFB">
        <w:rPr>
          <w:rFonts w:ascii="Times New Roman" w:hAnsi="Times New Roman" w:cs="Times New Roman"/>
          <w:lang w:val="en-GB"/>
        </w:rPr>
        <w:t>For each criterion</w:t>
      </w:r>
      <w:r w:rsidR="00530A77">
        <w:rPr>
          <w:rFonts w:ascii="Times New Roman" w:hAnsi="Times New Roman" w:cs="Times New Roman"/>
          <w:lang w:val="en-GB"/>
        </w:rPr>
        <w:t>,</w:t>
      </w:r>
      <w:r w:rsidRPr="00816BFB">
        <w:rPr>
          <w:rFonts w:ascii="Times New Roman" w:hAnsi="Times New Roman" w:cs="Times New Roman"/>
          <w:lang w:val="en-GB"/>
        </w:rPr>
        <w:t xml:space="preserve"> a </w:t>
      </w:r>
      <w:r w:rsidR="004E2603">
        <w:rPr>
          <w:rFonts w:ascii="Times New Roman" w:hAnsi="Times New Roman" w:cs="Times New Roman"/>
          <w:lang w:val="en-GB"/>
        </w:rPr>
        <w:t>menu</w:t>
      </w:r>
      <w:r w:rsidRPr="00530A77">
        <w:rPr>
          <w:rFonts w:ascii="Times New Roman" w:hAnsi="Times New Roman" w:cs="Times New Roman"/>
          <w:lang w:val="en-GB"/>
        </w:rPr>
        <w:t xml:space="preserve"> of </w:t>
      </w:r>
      <w:r w:rsidR="00530A77" w:rsidRPr="00530A77">
        <w:rPr>
          <w:rFonts w:ascii="Times New Roman" w:hAnsi="Times New Roman" w:cs="Times New Roman"/>
          <w:lang w:val="en-GB"/>
        </w:rPr>
        <w:t xml:space="preserve">example </w:t>
      </w:r>
      <w:r w:rsidR="0070788E" w:rsidRPr="00530A77">
        <w:rPr>
          <w:rFonts w:ascii="Times New Roman" w:hAnsi="Times New Roman" w:cs="Times New Roman"/>
          <w:lang w:val="en-GB"/>
        </w:rPr>
        <w:t>indicators</w:t>
      </w:r>
      <w:r w:rsidRPr="00816BFB">
        <w:rPr>
          <w:rFonts w:ascii="Times New Roman" w:hAnsi="Times New Roman" w:cs="Times New Roman"/>
          <w:lang w:val="en-GB"/>
        </w:rPr>
        <w:t xml:space="preserve"> </w:t>
      </w:r>
      <w:r w:rsidR="00530A77">
        <w:rPr>
          <w:rFonts w:ascii="Times New Roman" w:hAnsi="Times New Roman" w:cs="Times New Roman"/>
          <w:lang w:val="en-GB"/>
        </w:rPr>
        <w:t xml:space="preserve">is included in Table 2. </w:t>
      </w:r>
      <w:r w:rsidR="00530A77" w:rsidRPr="00816BFB">
        <w:rPr>
          <w:rFonts w:ascii="Times New Roman" w:hAnsi="Times New Roman" w:cs="Times New Roman"/>
          <w:lang w:val="en-GB"/>
        </w:rPr>
        <w:t xml:space="preserve">The </w:t>
      </w:r>
      <w:r w:rsidR="00530A77">
        <w:rPr>
          <w:rFonts w:ascii="Times New Roman" w:hAnsi="Times New Roman" w:cs="Times New Roman"/>
          <w:lang w:val="en-GB"/>
        </w:rPr>
        <w:t>table</w:t>
      </w:r>
      <w:r w:rsidR="00530A77" w:rsidRPr="00816BFB">
        <w:rPr>
          <w:rFonts w:ascii="Times New Roman" w:hAnsi="Times New Roman" w:cs="Times New Roman"/>
          <w:lang w:val="en-GB"/>
        </w:rPr>
        <w:t xml:space="preserve"> also includes aspects of </w:t>
      </w:r>
      <w:proofErr w:type="spellStart"/>
      <w:r w:rsidR="00530A77" w:rsidRPr="00816BFB">
        <w:rPr>
          <w:rFonts w:ascii="Times New Roman" w:hAnsi="Times New Roman" w:cs="Times New Roman"/>
          <w:b/>
          <w:lang w:val="en-GB"/>
        </w:rPr>
        <w:t>replicability</w:t>
      </w:r>
      <w:proofErr w:type="spellEnd"/>
      <w:r w:rsidR="00530A77">
        <w:rPr>
          <w:rFonts w:ascii="Times New Roman" w:hAnsi="Times New Roman" w:cs="Times New Roman"/>
          <w:lang w:val="en-GB"/>
        </w:rPr>
        <w:t>.</w:t>
      </w:r>
      <w:r w:rsidR="004E2603">
        <w:rPr>
          <w:rFonts w:ascii="Times New Roman" w:hAnsi="Times New Roman" w:cs="Times New Roman"/>
          <w:lang w:val="en-GB"/>
        </w:rPr>
        <w:t xml:space="preserve"> </w:t>
      </w:r>
      <w:r w:rsidR="004E2603" w:rsidRPr="004E2603">
        <w:rPr>
          <w:rFonts w:ascii="Times New Roman" w:hAnsi="Times New Roman" w:cs="Times New Roman"/>
          <w:lang w:val="en-GB"/>
        </w:rPr>
        <w:t>Note that these types of indicators are very context related therefore need to be adapted to the specific context.</w:t>
      </w:r>
    </w:p>
    <w:p w:rsidR="009F78A3" w:rsidRPr="00C05A94" w:rsidRDefault="00C05A94" w:rsidP="00C05A94">
      <w:pPr>
        <w:spacing w:after="0" w:line="240" w:lineRule="auto"/>
        <w:rPr>
          <w:rFonts w:ascii="Times New Roman" w:hAnsi="Times New Roman" w:cs="Times New Roman"/>
          <w:b/>
          <w:lang w:val="en-GB"/>
        </w:rPr>
      </w:pPr>
      <w:r>
        <w:rPr>
          <w:rFonts w:ascii="Times New Roman" w:hAnsi="Times New Roman" w:cs="Times New Roman"/>
          <w:b/>
          <w:lang w:val="en-GB"/>
        </w:rPr>
        <w:br w:type="page"/>
      </w:r>
      <w:r w:rsidR="00251DAF" w:rsidRPr="00816BFB">
        <w:rPr>
          <w:rFonts w:ascii="Times New Roman" w:hAnsi="Times New Roman" w:cs="Times New Roman"/>
          <w:b/>
          <w:lang w:val="en-GB"/>
        </w:rPr>
        <w:lastRenderedPageBreak/>
        <w:t>Table 2</w:t>
      </w:r>
      <w:proofErr w:type="gramStart"/>
      <w:r w:rsidR="009F78A3" w:rsidRPr="00816BFB">
        <w:rPr>
          <w:rFonts w:ascii="Times New Roman" w:hAnsi="Times New Roman" w:cs="Times New Roman"/>
          <w:b/>
          <w:lang w:val="en-GB"/>
        </w:rPr>
        <w:t>.-</w:t>
      </w:r>
      <w:proofErr w:type="gramEnd"/>
      <w:r w:rsidR="009F78A3" w:rsidRPr="00816BFB">
        <w:rPr>
          <w:rFonts w:ascii="Times New Roman" w:hAnsi="Times New Roman" w:cs="Times New Roman"/>
          <w:b/>
          <w:lang w:val="en-GB"/>
        </w:rPr>
        <w:t xml:space="preserve"> Sustainability and </w:t>
      </w:r>
      <w:proofErr w:type="spellStart"/>
      <w:r w:rsidR="009F78A3" w:rsidRPr="00816BFB">
        <w:rPr>
          <w:rFonts w:ascii="Times New Roman" w:hAnsi="Times New Roman" w:cs="Times New Roman"/>
          <w:b/>
          <w:lang w:val="en-GB"/>
        </w:rPr>
        <w:t>replicability</w:t>
      </w:r>
      <w:proofErr w:type="spellEnd"/>
      <w:r w:rsidR="009F78A3" w:rsidRPr="00816BFB">
        <w:rPr>
          <w:rFonts w:ascii="Times New Roman" w:hAnsi="Times New Roman" w:cs="Times New Roman"/>
          <w:lang w:val="en-GB"/>
        </w:rPr>
        <w:t xml:space="preserve"> </w:t>
      </w:r>
      <w:r w:rsidR="009F78A3" w:rsidRPr="00816BFB">
        <w:rPr>
          <w:rFonts w:ascii="Times New Roman" w:hAnsi="Times New Roman" w:cs="Times New Roman"/>
          <w:b/>
          <w:lang w:val="en-GB"/>
        </w:rPr>
        <w:t>indicators</w:t>
      </w:r>
      <w:r w:rsidR="009F78A3" w:rsidRPr="00816BFB">
        <w:rPr>
          <w:rFonts w:ascii="Times New Roman" w:hAnsi="Times New Roman" w:cs="Times New Roman"/>
          <w:lang w:val="en-GB"/>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6"/>
      </w:tblGrid>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6A6A6" w:themeFill="background1" w:themeFillShade="A6"/>
          </w:tcPr>
          <w:p w:rsidR="009F78A3" w:rsidRPr="00C05A94" w:rsidRDefault="009F78A3" w:rsidP="005F328B">
            <w:pPr>
              <w:pStyle w:val="BodyText2"/>
              <w:numPr>
                <w:ilvl w:val="0"/>
                <w:numId w:val="6"/>
              </w:numPr>
              <w:spacing w:after="0" w:line="240" w:lineRule="auto"/>
              <w:rPr>
                <w:rFonts w:ascii="Times New Roman" w:hAnsi="Times New Roman" w:cs="Times New Roman"/>
                <w:b/>
                <w:sz w:val="20"/>
                <w:szCs w:val="20"/>
                <w:lang w:val="en-GB"/>
              </w:rPr>
            </w:pPr>
            <w:r w:rsidRPr="00C05A94">
              <w:rPr>
                <w:rFonts w:ascii="Times New Roman" w:hAnsi="Times New Roman" w:cs="Times New Roman"/>
                <w:b/>
                <w:sz w:val="20"/>
                <w:szCs w:val="20"/>
                <w:lang w:val="en-GB"/>
              </w:rPr>
              <w:t>Economic viability - Cost Recovery</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bCs/>
                <w:sz w:val="20"/>
                <w:szCs w:val="20"/>
                <w:lang w:val="en-GB"/>
              </w:rPr>
            </w:pPr>
            <w:r w:rsidRPr="00C05A94">
              <w:rPr>
                <w:rFonts w:ascii="Times New Roman" w:hAnsi="Times New Roman" w:cs="Times New Roman"/>
                <w:sz w:val="20"/>
                <w:szCs w:val="20"/>
                <w:lang w:val="en-GB"/>
              </w:rPr>
              <w:t xml:space="preserve">1.1.  Operation &amp; maintenance costs of water supply system </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uto"/>
          </w:tcPr>
          <w:p w:rsidR="009F78A3" w:rsidRPr="00C05A94" w:rsidRDefault="009F78A3" w:rsidP="005F328B">
            <w:pPr>
              <w:pStyle w:val="BodyText2"/>
              <w:widowControl w:val="0"/>
              <w:numPr>
                <w:ilvl w:val="0"/>
                <w:numId w:val="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Sufficient fees are collected to, as a minimum, cover annual operation and minor maintenance costs</w:t>
            </w:r>
          </w:p>
          <w:p w:rsidR="009F78A3" w:rsidRPr="00C05A94" w:rsidRDefault="009F78A3" w:rsidP="005F328B">
            <w:pPr>
              <w:pStyle w:val="BodyText2"/>
              <w:widowControl w:val="0"/>
              <w:numPr>
                <w:ilvl w:val="0"/>
                <w:numId w:val="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&lt;3 years: Evidence that funds are collected in the community</w:t>
            </w:r>
          </w:p>
          <w:p w:rsidR="009F78A3" w:rsidRPr="00C05A94" w:rsidRDefault="009F78A3" w:rsidP="005F328B">
            <w:pPr>
              <w:pStyle w:val="BodyText2"/>
              <w:widowControl w:val="0"/>
              <w:numPr>
                <w:ilvl w:val="0"/>
                <w:numId w:val="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Funds are kept and used in a transparency manner</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 xml:space="preserve">1.2.   Replacement costs of water supply system </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uto"/>
          </w:tcPr>
          <w:p w:rsidR="009F78A3" w:rsidRPr="00C05A94" w:rsidRDefault="009F78A3" w:rsidP="005F328B">
            <w:pPr>
              <w:pStyle w:val="BodyText2"/>
              <w:widowControl w:val="0"/>
              <w:numPr>
                <w:ilvl w:val="0"/>
                <w:numId w:val="5"/>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&lt;6 years: Sufficient funds available to replace most expensive parts</w:t>
            </w:r>
          </w:p>
          <w:p w:rsidR="009F78A3" w:rsidRPr="00C05A94" w:rsidRDefault="009F78A3" w:rsidP="005F328B">
            <w:pPr>
              <w:pStyle w:val="BodyText2"/>
              <w:widowControl w:val="0"/>
              <w:numPr>
                <w:ilvl w:val="0"/>
                <w:numId w:val="5"/>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&lt;10 years: Capital maintenance expenditures (full depreciated replacement costs) are covered</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6A6A6" w:themeFill="background1" w:themeFillShade="A6"/>
          </w:tcPr>
          <w:p w:rsidR="009F78A3" w:rsidRPr="00C05A94" w:rsidRDefault="009F78A3" w:rsidP="00530A77">
            <w:pPr>
              <w:pStyle w:val="BodyText2"/>
              <w:numPr>
                <w:ilvl w:val="0"/>
                <w:numId w:val="6"/>
              </w:numPr>
              <w:spacing w:after="0" w:line="240" w:lineRule="auto"/>
              <w:rPr>
                <w:rFonts w:ascii="Times New Roman" w:hAnsi="Times New Roman" w:cs="Times New Roman"/>
                <w:b/>
                <w:sz w:val="20"/>
                <w:szCs w:val="20"/>
                <w:lang w:val="en-GB"/>
              </w:rPr>
            </w:pPr>
            <w:r w:rsidRPr="00C05A94">
              <w:rPr>
                <w:rFonts w:ascii="Times New Roman" w:hAnsi="Times New Roman" w:cs="Times New Roman"/>
                <w:b/>
                <w:sz w:val="20"/>
                <w:szCs w:val="20"/>
                <w:lang w:val="en-GB"/>
              </w:rPr>
              <w:t>Social acceptance</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2.1. Demand driven approach</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uto"/>
          </w:tcPr>
          <w:p w:rsidR="009F78A3" w:rsidRPr="00C05A94" w:rsidRDefault="009F78A3" w:rsidP="005F328B">
            <w:pPr>
              <w:pStyle w:val="BodyText2"/>
              <w:widowControl w:val="0"/>
              <w:numPr>
                <w:ilvl w:val="0"/>
                <w:numId w:val="4"/>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People were informed and consulted on costs of water supply and sanitation services</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6A6A6" w:themeFill="background1" w:themeFillShade="A6"/>
          </w:tcPr>
          <w:p w:rsidR="009F78A3" w:rsidRPr="00C05A94" w:rsidRDefault="009F78A3" w:rsidP="00530A77">
            <w:pPr>
              <w:pStyle w:val="BodyText2"/>
              <w:numPr>
                <w:ilvl w:val="0"/>
                <w:numId w:val="6"/>
              </w:numPr>
              <w:spacing w:after="0" w:line="240" w:lineRule="auto"/>
              <w:rPr>
                <w:rFonts w:ascii="Times New Roman" w:hAnsi="Times New Roman" w:cs="Times New Roman"/>
                <w:b/>
                <w:sz w:val="20"/>
                <w:szCs w:val="20"/>
                <w:lang w:val="en-GB"/>
              </w:rPr>
            </w:pPr>
            <w:r w:rsidRPr="00C05A94">
              <w:rPr>
                <w:rFonts w:ascii="Times New Roman" w:hAnsi="Times New Roman" w:cs="Times New Roman"/>
                <w:b/>
                <w:sz w:val="20"/>
                <w:szCs w:val="20"/>
                <w:lang w:val="en-GB"/>
              </w:rPr>
              <w:t>Technical appropriateness</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3.1.   Availability of tools, spare parts and materials</w:t>
            </w:r>
          </w:p>
        </w:tc>
      </w:tr>
      <w:tr w:rsidR="009F78A3" w:rsidRPr="00C05A94" w:rsidTr="00B31EE2">
        <w:trPr>
          <w:tblHeader/>
        </w:trPr>
        <w:tc>
          <w:tcPr>
            <w:tcW w:w="9426" w:type="dxa"/>
            <w:tcBorders>
              <w:top w:val="single" w:sz="4" w:space="0" w:color="auto"/>
              <w:left w:val="single" w:sz="4" w:space="0" w:color="auto"/>
              <w:right w:val="single" w:sz="4" w:space="0" w:color="auto"/>
            </w:tcBorders>
            <w:shd w:val="clear" w:color="auto" w:fill="auto"/>
          </w:tcPr>
          <w:p w:rsidR="009F78A3" w:rsidRPr="00C05A94" w:rsidRDefault="009F78A3" w:rsidP="005F328B">
            <w:pPr>
              <w:pStyle w:val="BodyText2"/>
              <w:numPr>
                <w:ilvl w:val="0"/>
                <w:numId w:val="7"/>
              </w:numPr>
              <w:spacing w:after="0" w:line="240" w:lineRule="auto"/>
              <w:ind w:left="284" w:hanging="284"/>
              <w:rPr>
                <w:rFonts w:ascii="Times New Roman" w:hAnsi="Times New Roman" w:cs="Times New Roman"/>
                <w:sz w:val="20"/>
                <w:szCs w:val="20"/>
                <w:lang w:val="en-GB"/>
              </w:rPr>
            </w:pPr>
            <w:r w:rsidRPr="00C05A94">
              <w:rPr>
                <w:rFonts w:ascii="Times New Roman" w:hAnsi="Times New Roman" w:cs="Times New Roman"/>
                <w:sz w:val="20"/>
                <w:szCs w:val="20"/>
                <w:lang w:val="en-GB"/>
              </w:rPr>
              <w:t>Access to required tools, spare parts and materials to maintain and repair water supplies</w:t>
            </w:r>
          </w:p>
        </w:tc>
      </w:tr>
      <w:tr w:rsidR="009F78A3" w:rsidRPr="00C05A94" w:rsidTr="00B31EE2">
        <w:tc>
          <w:tcPr>
            <w:tcW w:w="9426" w:type="dxa"/>
            <w:tcBorders>
              <w:left w:val="single" w:sz="4" w:space="0" w:color="auto"/>
              <w:right w:val="single" w:sz="4" w:space="0" w:color="auto"/>
            </w:tcBorders>
            <w:shd w:val="clear" w:color="auto" w:fill="A6A6A6" w:themeFill="background1" w:themeFillShade="A6"/>
          </w:tcPr>
          <w:p w:rsidR="009F78A3" w:rsidRPr="00C05A94" w:rsidRDefault="009F78A3" w:rsidP="00530A77">
            <w:pPr>
              <w:pStyle w:val="BodyText2"/>
              <w:numPr>
                <w:ilvl w:val="0"/>
                <w:numId w:val="6"/>
              </w:numPr>
              <w:spacing w:after="0" w:line="240" w:lineRule="auto"/>
              <w:rPr>
                <w:rFonts w:ascii="Times New Roman" w:hAnsi="Times New Roman" w:cs="Times New Roman"/>
                <w:b/>
                <w:sz w:val="20"/>
                <w:szCs w:val="20"/>
                <w:lang w:val="en-GB"/>
              </w:rPr>
            </w:pPr>
            <w:r w:rsidRPr="00C05A94">
              <w:rPr>
                <w:rFonts w:ascii="Times New Roman" w:hAnsi="Times New Roman" w:cs="Times New Roman"/>
                <w:b/>
                <w:sz w:val="20"/>
                <w:szCs w:val="20"/>
                <w:lang w:val="en-GB"/>
              </w:rPr>
              <w:t>Institutional appropriateness</w:t>
            </w:r>
          </w:p>
        </w:tc>
      </w:tr>
      <w:tr w:rsidR="009F78A3" w:rsidRPr="00C05A94" w:rsidTr="00B31EE2">
        <w:tc>
          <w:tcPr>
            <w:tcW w:w="9426" w:type="dxa"/>
            <w:tcBorders>
              <w:left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sz w:val="20"/>
                <w:szCs w:val="20"/>
                <w:lang w:val="en-GB"/>
              </w:rPr>
            </w:pPr>
            <w:r w:rsidRPr="00C05A94">
              <w:rPr>
                <w:rFonts w:ascii="Times New Roman" w:hAnsi="Times New Roman" w:cs="Times New Roman"/>
                <w:bCs/>
                <w:sz w:val="20"/>
                <w:szCs w:val="20"/>
                <w:lang w:val="en-GB"/>
              </w:rPr>
              <w:t>4.1   Capacity and involvement of community health, WatSan and/ or hygiene committee</w:t>
            </w:r>
          </w:p>
        </w:tc>
      </w:tr>
      <w:tr w:rsidR="009F78A3" w:rsidRPr="00C05A94" w:rsidTr="00B31EE2">
        <w:tc>
          <w:tcPr>
            <w:tcW w:w="9426" w:type="dxa"/>
            <w:tcBorders>
              <w:left w:val="single" w:sz="4" w:space="0" w:color="auto"/>
              <w:right w:val="single" w:sz="4" w:space="0" w:color="auto"/>
            </w:tcBorders>
          </w:tcPr>
          <w:p w:rsidR="009F78A3" w:rsidRPr="00C05A94" w:rsidRDefault="009F78A3" w:rsidP="005F328B">
            <w:pPr>
              <w:pStyle w:val="BodyText2"/>
              <w:widowControl w:val="0"/>
              <w:numPr>
                <w:ilvl w:val="0"/>
                <w:numId w:val="8"/>
              </w:numPr>
              <w:spacing w:after="0" w:line="240" w:lineRule="auto"/>
              <w:rPr>
                <w:rFonts w:ascii="Times New Roman" w:hAnsi="Times New Roman" w:cs="Times New Roman"/>
                <w:bCs/>
                <w:sz w:val="20"/>
                <w:szCs w:val="20"/>
                <w:lang w:val="en-GB"/>
              </w:rPr>
            </w:pPr>
            <w:r w:rsidRPr="00C05A94">
              <w:rPr>
                <w:rFonts w:ascii="Times New Roman" w:hAnsi="Times New Roman" w:cs="Times New Roman"/>
                <w:sz w:val="20"/>
                <w:szCs w:val="20"/>
                <w:lang w:val="en-GB"/>
              </w:rPr>
              <w:t>A system/ network of trained people  exists and ensures proper management of facilities</w:t>
            </w:r>
          </w:p>
          <w:p w:rsidR="009F78A3" w:rsidRPr="00C05A94" w:rsidRDefault="009F78A3" w:rsidP="005F328B">
            <w:pPr>
              <w:pStyle w:val="BodyText2"/>
              <w:widowControl w:val="0"/>
              <w:numPr>
                <w:ilvl w:val="0"/>
                <w:numId w:val="8"/>
              </w:numPr>
              <w:spacing w:after="0" w:line="240" w:lineRule="auto"/>
              <w:rPr>
                <w:rFonts w:ascii="Times New Roman" w:hAnsi="Times New Roman" w:cs="Times New Roman"/>
                <w:bCs/>
                <w:sz w:val="20"/>
                <w:szCs w:val="20"/>
                <w:lang w:val="en-GB"/>
              </w:rPr>
            </w:pPr>
            <w:r w:rsidRPr="00C05A94">
              <w:rPr>
                <w:rFonts w:ascii="Times New Roman" w:hAnsi="Times New Roman" w:cs="Times New Roman"/>
                <w:sz w:val="20"/>
                <w:szCs w:val="20"/>
                <w:lang w:val="en-GB"/>
              </w:rPr>
              <w:t>Levels of management responsibility are recognized and linked</w:t>
            </w:r>
          </w:p>
          <w:p w:rsidR="009F78A3" w:rsidRPr="00C05A94" w:rsidRDefault="009F78A3" w:rsidP="005F328B">
            <w:pPr>
              <w:pStyle w:val="BodyText2"/>
              <w:widowControl w:val="0"/>
              <w:numPr>
                <w:ilvl w:val="0"/>
                <w:numId w:val="8"/>
              </w:numPr>
              <w:spacing w:after="0" w:line="240" w:lineRule="auto"/>
              <w:rPr>
                <w:rFonts w:ascii="Times New Roman" w:hAnsi="Times New Roman" w:cs="Times New Roman"/>
                <w:bCs/>
                <w:sz w:val="20"/>
                <w:szCs w:val="20"/>
                <w:lang w:val="en-GB"/>
              </w:rPr>
            </w:pPr>
            <w:r w:rsidRPr="00C05A94">
              <w:rPr>
                <w:rFonts w:ascii="Times New Roman" w:hAnsi="Times New Roman" w:cs="Times New Roman"/>
                <w:sz w:val="20"/>
                <w:szCs w:val="20"/>
                <w:lang w:val="en-GB"/>
              </w:rPr>
              <w:t xml:space="preserve">Beneficiaries understand and trust WatSan/HP management system </w:t>
            </w:r>
          </w:p>
          <w:p w:rsidR="009F78A3" w:rsidRPr="00C05A94" w:rsidRDefault="009F78A3" w:rsidP="005F328B">
            <w:pPr>
              <w:pStyle w:val="BodyText2"/>
              <w:widowControl w:val="0"/>
              <w:numPr>
                <w:ilvl w:val="0"/>
                <w:numId w:val="8"/>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There is a minimum of 1  person active in the community committee</w:t>
            </w:r>
          </w:p>
          <w:p w:rsidR="009F78A3" w:rsidRPr="00C05A94" w:rsidRDefault="009F78A3" w:rsidP="005F328B">
            <w:pPr>
              <w:pStyle w:val="BodyText2"/>
              <w:widowControl w:val="0"/>
              <w:numPr>
                <w:ilvl w:val="0"/>
                <w:numId w:val="8"/>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The committee has tangible outputs in terms of management, actions or decisions</w:t>
            </w:r>
          </w:p>
          <w:p w:rsidR="009F78A3" w:rsidRPr="00C05A94" w:rsidRDefault="009F78A3" w:rsidP="005F328B">
            <w:pPr>
              <w:pStyle w:val="BodyText2"/>
              <w:widowControl w:val="0"/>
              <w:numPr>
                <w:ilvl w:val="0"/>
                <w:numId w:val="8"/>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Nr. of people active in the community committee</w:t>
            </w:r>
          </w:p>
          <w:p w:rsidR="009F78A3" w:rsidRPr="00C05A94" w:rsidRDefault="009F78A3" w:rsidP="005F328B">
            <w:pPr>
              <w:pStyle w:val="BodyText2"/>
              <w:widowControl w:val="0"/>
              <w:numPr>
                <w:ilvl w:val="0"/>
                <w:numId w:val="8"/>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Outcomes of committee meetings</w:t>
            </w:r>
          </w:p>
        </w:tc>
      </w:tr>
      <w:tr w:rsidR="009F78A3" w:rsidRPr="00C05A94" w:rsidTr="00B31EE2">
        <w:tc>
          <w:tcPr>
            <w:tcW w:w="9426" w:type="dxa"/>
            <w:tcBorders>
              <w:left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 xml:space="preserve">4.2   Capacity and involvement of RC/RC community volunteer </w:t>
            </w:r>
          </w:p>
        </w:tc>
      </w:tr>
      <w:tr w:rsidR="009F78A3" w:rsidRPr="00C05A94" w:rsidTr="00B31EE2">
        <w:tc>
          <w:tcPr>
            <w:tcW w:w="9426" w:type="dxa"/>
            <w:tcBorders>
              <w:left w:val="single" w:sz="4" w:space="0" w:color="auto"/>
              <w:right w:val="single" w:sz="4" w:space="0" w:color="auto"/>
            </w:tcBorders>
          </w:tcPr>
          <w:p w:rsidR="009F78A3" w:rsidRPr="00C05A94" w:rsidRDefault="009F78A3" w:rsidP="005F328B">
            <w:pPr>
              <w:pStyle w:val="BodyText2"/>
              <w:widowControl w:val="0"/>
              <w:numPr>
                <w:ilvl w:val="0"/>
                <w:numId w:val="9"/>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Community members know RC/RC volunteers and understand the role they can play in WatSan/HP</w:t>
            </w:r>
          </w:p>
          <w:p w:rsidR="009F78A3" w:rsidRPr="00C05A94" w:rsidRDefault="009F78A3" w:rsidP="005F328B">
            <w:pPr>
              <w:pStyle w:val="BodyText2"/>
              <w:widowControl w:val="0"/>
              <w:numPr>
                <w:ilvl w:val="0"/>
                <w:numId w:val="9"/>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Community members report consulting RC/RC volunteers in WatSan/HP</w:t>
            </w:r>
          </w:p>
          <w:p w:rsidR="009F78A3" w:rsidRPr="00C05A94" w:rsidRDefault="009F78A3" w:rsidP="005F328B">
            <w:pPr>
              <w:pStyle w:val="BodyText2"/>
              <w:widowControl w:val="0"/>
              <w:numPr>
                <w:ilvl w:val="0"/>
                <w:numId w:val="9"/>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Evidence of support provided by RC/RC volunteers to community members</w:t>
            </w:r>
          </w:p>
          <w:p w:rsidR="009F78A3" w:rsidRPr="00C05A94" w:rsidRDefault="009F78A3" w:rsidP="005F328B">
            <w:pPr>
              <w:pStyle w:val="BodyText2"/>
              <w:widowControl w:val="0"/>
              <w:numPr>
                <w:ilvl w:val="0"/>
                <w:numId w:val="9"/>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Volunteer provides technical support and assistance to community minimally once every month</w:t>
            </w:r>
          </w:p>
        </w:tc>
      </w:tr>
      <w:tr w:rsidR="009F78A3" w:rsidRPr="00C05A94" w:rsidTr="00B31EE2">
        <w:tc>
          <w:tcPr>
            <w:tcW w:w="9426" w:type="dxa"/>
            <w:tcBorders>
              <w:left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bCs/>
                <w:sz w:val="20"/>
                <w:szCs w:val="20"/>
                <w:lang w:val="en-GB"/>
              </w:rPr>
            </w:pPr>
            <w:r w:rsidRPr="00C05A94">
              <w:rPr>
                <w:rFonts w:ascii="Times New Roman" w:hAnsi="Times New Roman" w:cs="Times New Roman"/>
                <w:sz w:val="20"/>
                <w:szCs w:val="20"/>
                <w:lang w:val="en-GB"/>
              </w:rPr>
              <w:t>4.3   Access to technical (back-up) support services to maintain water supplies</w:t>
            </w:r>
            <w:r w:rsidRPr="00C05A94" w:rsidDel="001E5A92">
              <w:rPr>
                <w:rFonts w:ascii="Times New Roman" w:hAnsi="Times New Roman" w:cs="Times New Roman"/>
                <w:bCs/>
                <w:sz w:val="20"/>
                <w:szCs w:val="20"/>
                <w:lang w:val="en-GB"/>
              </w:rPr>
              <w:t xml:space="preserve"> </w:t>
            </w:r>
          </w:p>
        </w:tc>
      </w:tr>
      <w:tr w:rsidR="009F78A3" w:rsidRPr="00C05A94" w:rsidTr="00B31EE2">
        <w:tc>
          <w:tcPr>
            <w:tcW w:w="9426" w:type="dxa"/>
            <w:tcBorders>
              <w:left w:val="single" w:sz="4" w:space="0" w:color="auto"/>
              <w:right w:val="single" w:sz="4" w:space="0" w:color="auto"/>
            </w:tcBorders>
          </w:tcPr>
          <w:p w:rsidR="009F78A3" w:rsidRPr="00C05A94" w:rsidRDefault="009F78A3" w:rsidP="005F328B">
            <w:pPr>
              <w:pStyle w:val="BodyText2"/>
              <w:widowControl w:val="0"/>
              <w:numPr>
                <w:ilvl w:val="0"/>
                <w:numId w:val="10"/>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Trained technical staff are available within the community</w:t>
            </w:r>
          </w:p>
          <w:p w:rsidR="009F78A3" w:rsidRPr="00C05A94" w:rsidRDefault="009F78A3" w:rsidP="005F328B">
            <w:pPr>
              <w:pStyle w:val="BodyText2"/>
              <w:widowControl w:val="0"/>
              <w:numPr>
                <w:ilvl w:val="0"/>
                <w:numId w:val="10"/>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Technical support services will respond within a maximum of 7days for major faults ad 14 days for minor faults.</w:t>
            </w:r>
          </w:p>
          <w:p w:rsidR="009F78A3" w:rsidRPr="00C05A94" w:rsidRDefault="009F78A3" w:rsidP="005F328B">
            <w:pPr>
              <w:pStyle w:val="BodyText2"/>
              <w:widowControl w:val="0"/>
              <w:numPr>
                <w:ilvl w:val="0"/>
                <w:numId w:val="10"/>
              </w:numPr>
              <w:spacing w:after="0" w:line="240" w:lineRule="auto"/>
              <w:rPr>
                <w:rFonts w:ascii="Times New Roman" w:hAnsi="Times New Roman" w:cs="Times New Roman"/>
                <w:sz w:val="20"/>
                <w:szCs w:val="20"/>
                <w:lang w:val="en-GB"/>
              </w:rPr>
            </w:pPr>
            <w:r w:rsidRPr="00C05A94">
              <w:rPr>
                <w:rFonts w:ascii="Times New Roman" w:hAnsi="Times New Roman" w:cs="Times New Roman"/>
                <w:sz w:val="20"/>
                <w:szCs w:val="20"/>
                <w:lang w:val="en-GB"/>
              </w:rPr>
              <w:t>A system/ network of trained people should exist to ensure proper maintenance and repair of facilities</w:t>
            </w:r>
          </w:p>
        </w:tc>
      </w:tr>
      <w:tr w:rsidR="009F78A3" w:rsidRPr="00C05A94" w:rsidTr="00B31EE2">
        <w:tc>
          <w:tcPr>
            <w:tcW w:w="9426" w:type="dxa"/>
            <w:tcBorders>
              <w:left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4.4   Follow-up RC/RC projects targeting same beneficiaries</w:t>
            </w:r>
          </w:p>
        </w:tc>
      </w:tr>
      <w:tr w:rsidR="009F78A3" w:rsidRPr="00C05A94" w:rsidTr="00B31EE2">
        <w:tc>
          <w:tcPr>
            <w:tcW w:w="9426" w:type="dxa"/>
            <w:tcBorders>
              <w:left w:val="single" w:sz="4" w:space="0" w:color="auto"/>
              <w:right w:val="single" w:sz="4" w:space="0" w:color="auto"/>
            </w:tcBorders>
          </w:tcPr>
          <w:p w:rsidR="009F78A3" w:rsidRPr="00C05A94" w:rsidRDefault="009F78A3" w:rsidP="005F328B">
            <w:pPr>
              <w:pStyle w:val="BodyText2"/>
              <w:widowControl w:val="0"/>
              <w:numPr>
                <w:ilvl w:val="0"/>
                <w:numId w:val="11"/>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There were no other projects completed targeting the same beneficiaries after project completion or;</w:t>
            </w:r>
          </w:p>
          <w:p w:rsidR="009F78A3" w:rsidRPr="00C05A94" w:rsidRDefault="009F78A3" w:rsidP="005F328B">
            <w:pPr>
              <w:pStyle w:val="BodyText2"/>
              <w:widowControl w:val="0"/>
              <w:numPr>
                <w:ilvl w:val="0"/>
                <w:numId w:val="11"/>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There were one or more other projects completed targeting the same beneficiaries after project completion. *Key question is whether projects could have affected outcomes evaluation!</w:t>
            </w:r>
          </w:p>
        </w:tc>
      </w:tr>
      <w:tr w:rsidR="009F78A3" w:rsidRPr="00C05A94" w:rsidTr="00B31EE2">
        <w:tc>
          <w:tcPr>
            <w:tcW w:w="9426" w:type="dxa"/>
            <w:tcBorders>
              <w:left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4.5   Partnerships with the government</w:t>
            </w:r>
          </w:p>
        </w:tc>
      </w:tr>
      <w:tr w:rsidR="009F78A3" w:rsidRPr="00C05A94" w:rsidTr="00B31EE2">
        <w:tc>
          <w:tcPr>
            <w:tcW w:w="9426" w:type="dxa"/>
            <w:tcBorders>
              <w:left w:val="single" w:sz="4" w:space="0" w:color="auto"/>
              <w:right w:val="single" w:sz="4" w:space="0" w:color="auto"/>
            </w:tcBorders>
          </w:tcPr>
          <w:p w:rsidR="009F78A3" w:rsidRPr="00C05A94" w:rsidRDefault="009F78A3" w:rsidP="005F328B">
            <w:pPr>
              <w:pStyle w:val="BodyText2"/>
              <w:widowControl w:val="0"/>
              <w:numPr>
                <w:ilvl w:val="0"/>
                <w:numId w:val="12"/>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No, one or more services and/or equipment provided by government</w:t>
            </w:r>
          </w:p>
        </w:tc>
      </w:tr>
      <w:tr w:rsidR="009F78A3" w:rsidRPr="00C05A94" w:rsidTr="00B31EE2">
        <w:tc>
          <w:tcPr>
            <w:tcW w:w="9426" w:type="dxa"/>
            <w:tcBorders>
              <w:top w:val="single" w:sz="4" w:space="0" w:color="auto"/>
              <w:left w:val="single" w:sz="4" w:space="0" w:color="auto"/>
              <w:bottom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4.6   Partnerships with other local partner organizations</w:t>
            </w:r>
          </w:p>
        </w:tc>
      </w:tr>
      <w:tr w:rsidR="009F78A3" w:rsidRPr="00C05A94" w:rsidTr="00B31EE2">
        <w:tc>
          <w:tcPr>
            <w:tcW w:w="9426" w:type="dxa"/>
            <w:tcBorders>
              <w:top w:val="single" w:sz="4" w:space="0" w:color="auto"/>
              <w:left w:val="single" w:sz="4" w:space="0" w:color="auto"/>
              <w:bottom w:val="single" w:sz="4" w:space="0" w:color="auto"/>
              <w:right w:val="single" w:sz="4" w:space="0" w:color="auto"/>
            </w:tcBorders>
          </w:tcPr>
          <w:p w:rsidR="009F78A3" w:rsidRPr="00C05A94" w:rsidRDefault="009F78A3" w:rsidP="005F328B">
            <w:pPr>
              <w:pStyle w:val="BodyText2"/>
              <w:widowControl w:val="0"/>
              <w:numPr>
                <w:ilvl w:val="0"/>
                <w:numId w:val="12"/>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No, one or more services and/or equipment provided by partner organization</w:t>
            </w:r>
          </w:p>
        </w:tc>
      </w:tr>
      <w:tr w:rsidR="009F78A3" w:rsidRPr="00C05A94" w:rsidTr="00B31EE2">
        <w:tc>
          <w:tcPr>
            <w:tcW w:w="9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78A3" w:rsidRPr="00C05A94" w:rsidRDefault="009F78A3" w:rsidP="00530A77">
            <w:pPr>
              <w:pStyle w:val="BodyText2"/>
              <w:numPr>
                <w:ilvl w:val="0"/>
                <w:numId w:val="6"/>
              </w:numPr>
              <w:spacing w:after="0" w:line="240" w:lineRule="auto"/>
              <w:rPr>
                <w:rFonts w:ascii="Times New Roman" w:hAnsi="Times New Roman" w:cs="Times New Roman"/>
                <w:b/>
                <w:bCs/>
                <w:sz w:val="20"/>
                <w:szCs w:val="20"/>
                <w:lang w:val="en-GB"/>
              </w:rPr>
            </w:pPr>
            <w:proofErr w:type="spellStart"/>
            <w:r w:rsidRPr="00C05A94">
              <w:rPr>
                <w:rFonts w:ascii="Times New Roman" w:hAnsi="Times New Roman" w:cs="Times New Roman"/>
                <w:b/>
                <w:bCs/>
                <w:sz w:val="20"/>
                <w:szCs w:val="20"/>
                <w:lang w:val="en-GB"/>
              </w:rPr>
              <w:t>Replicability</w:t>
            </w:r>
            <w:proofErr w:type="spellEnd"/>
            <w:r w:rsidRPr="00C05A94">
              <w:rPr>
                <w:rFonts w:ascii="Times New Roman" w:hAnsi="Times New Roman" w:cs="Times New Roman"/>
                <w:b/>
                <w:bCs/>
                <w:sz w:val="20"/>
                <w:szCs w:val="20"/>
                <w:lang w:val="en-GB"/>
              </w:rPr>
              <w:t>/ Multiplier effect</w:t>
            </w:r>
          </w:p>
        </w:tc>
      </w:tr>
      <w:tr w:rsidR="009F78A3" w:rsidRPr="00C05A94" w:rsidTr="00B31EE2">
        <w:tc>
          <w:tcPr>
            <w:tcW w:w="9426" w:type="dxa"/>
            <w:tcBorders>
              <w:top w:val="single" w:sz="4" w:space="0" w:color="auto"/>
              <w:left w:val="single" w:sz="4" w:space="0" w:color="auto"/>
              <w:bottom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5.1   Type and number of water- and excreta disposal facilities replicated in project area</w:t>
            </w:r>
          </w:p>
        </w:tc>
      </w:tr>
      <w:tr w:rsidR="009F78A3" w:rsidRPr="00C05A94" w:rsidTr="00B31EE2">
        <w:tc>
          <w:tcPr>
            <w:tcW w:w="9426" w:type="dxa"/>
            <w:tcBorders>
              <w:top w:val="single" w:sz="4" w:space="0" w:color="auto"/>
              <w:left w:val="single" w:sz="4" w:space="0" w:color="auto"/>
              <w:bottom w:val="single" w:sz="4" w:space="0" w:color="auto"/>
              <w:right w:val="single" w:sz="4" w:space="0" w:color="auto"/>
            </w:tcBorders>
          </w:tcPr>
          <w:p w:rsidR="009F78A3" w:rsidRPr="00C05A94" w:rsidRDefault="009F78A3" w:rsidP="005F328B">
            <w:pPr>
              <w:pStyle w:val="BodyText2"/>
              <w:widowControl w:val="0"/>
              <w:numPr>
                <w:ilvl w:val="0"/>
                <w:numId w:val="13"/>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Additional water supply coverage is developed</w:t>
            </w:r>
          </w:p>
          <w:p w:rsidR="009F78A3" w:rsidRPr="00C05A94" w:rsidRDefault="009F78A3" w:rsidP="005F328B">
            <w:pPr>
              <w:pStyle w:val="BodyText2"/>
              <w:widowControl w:val="0"/>
              <w:numPr>
                <w:ilvl w:val="0"/>
                <w:numId w:val="13"/>
              </w:numPr>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People within the project area, not covered by the project, develop excreta disposal facilities themselves</w:t>
            </w:r>
          </w:p>
        </w:tc>
      </w:tr>
      <w:tr w:rsidR="009F78A3" w:rsidRPr="00C05A94" w:rsidTr="00B31EE2">
        <w:tc>
          <w:tcPr>
            <w:tcW w:w="9426" w:type="dxa"/>
            <w:tcBorders>
              <w:top w:val="single" w:sz="4" w:space="0" w:color="auto"/>
              <w:left w:val="single" w:sz="4" w:space="0" w:color="auto"/>
              <w:bottom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5.2    Number of beneficiaries applying safer hygiene practices beyond intended target group</w:t>
            </w:r>
          </w:p>
        </w:tc>
      </w:tr>
      <w:tr w:rsidR="009F78A3" w:rsidRPr="00C05A94" w:rsidTr="00B31EE2">
        <w:tc>
          <w:tcPr>
            <w:tcW w:w="9426" w:type="dxa"/>
            <w:tcBorders>
              <w:top w:val="single" w:sz="4" w:space="0" w:color="auto"/>
              <w:left w:val="single" w:sz="4" w:space="0" w:color="auto"/>
              <w:bottom w:val="single" w:sz="4" w:space="0" w:color="auto"/>
              <w:right w:val="single" w:sz="4" w:space="0" w:color="auto"/>
            </w:tcBorders>
          </w:tcPr>
          <w:p w:rsidR="009F78A3" w:rsidRPr="00C05A94" w:rsidRDefault="009F78A3" w:rsidP="005F328B">
            <w:pPr>
              <w:pStyle w:val="BodyText2"/>
              <w:numPr>
                <w:ilvl w:val="0"/>
                <w:numId w:val="7"/>
              </w:numPr>
              <w:spacing w:after="0" w:line="240" w:lineRule="auto"/>
              <w:ind w:left="284" w:hanging="284"/>
              <w:rPr>
                <w:rFonts w:ascii="Times New Roman" w:hAnsi="Times New Roman" w:cs="Times New Roman"/>
                <w:bCs/>
                <w:sz w:val="20"/>
                <w:szCs w:val="20"/>
                <w:lang w:val="en-GB"/>
              </w:rPr>
            </w:pPr>
            <w:r w:rsidRPr="00C05A94">
              <w:rPr>
                <w:rFonts w:ascii="Times New Roman" w:hAnsi="Times New Roman" w:cs="Times New Roman"/>
                <w:bCs/>
                <w:sz w:val="20"/>
                <w:szCs w:val="20"/>
                <w:lang w:val="en-GB"/>
              </w:rPr>
              <w:t>Evidence of people other than the intended direct project beneficiaries applying safe hygiene practices</w:t>
            </w:r>
          </w:p>
        </w:tc>
      </w:tr>
      <w:tr w:rsidR="009F78A3" w:rsidRPr="00C05A94" w:rsidTr="00B31EE2">
        <w:tc>
          <w:tcPr>
            <w:tcW w:w="9426" w:type="dxa"/>
            <w:tcBorders>
              <w:top w:val="single" w:sz="4" w:space="0" w:color="auto"/>
              <w:left w:val="single" w:sz="4" w:space="0" w:color="auto"/>
              <w:bottom w:val="single" w:sz="4" w:space="0" w:color="auto"/>
              <w:right w:val="single" w:sz="4" w:space="0" w:color="auto"/>
            </w:tcBorders>
            <w:shd w:val="clear" w:color="auto" w:fill="EEECE1" w:themeFill="background2"/>
          </w:tcPr>
          <w:p w:rsidR="009F78A3" w:rsidRPr="00C05A94" w:rsidRDefault="009F78A3" w:rsidP="00B31EE2">
            <w:pPr>
              <w:pStyle w:val="BodyText2"/>
              <w:spacing w:after="0" w:line="240" w:lineRule="auto"/>
              <w:rPr>
                <w:rFonts w:ascii="Times New Roman" w:hAnsi="Times New Roman" w:cs="Times New Roman"/>
                <w:bCs/>
                <w:sz w:val="20"/>
                <w:szCs w:val="20"/>
                <w:lang w:val="en-GB"/>
              </w:rPr>
            </w:pPr>
            <w:r w:rsidRPr="00C05A94">
              <w:rPr>
                <w:rFonts w:ascii="Times New Roman" w:hAnsi="Times New Roman" w:cs="Times New Roman"/>
                <w:bCs/>
                <w:sz w:val="20"/>
                <w:szCs w:val="20"/>
                <w:lang w:val="en-GB"/>
              </w:rPr>
              <w:t>5.3    Evidence of other projects implemented in more or less same way</w:t>
            </w:r>
          </w:p>
        </w:tc>
      </w:tr>
      <w:tr w:rsidR="009F78A3" w:rsidRPr="00C05A94" w:rsidTr="00B31EE2">
        <w:tc>
          <w:tcPr>
            <w:tcW w:w="9426" w:type="dxa"/>
            <w:tcBorders>
              <w:top w:val="single" w:sz="4" w:space="0" w:color="auto"/>
              <w:left w:val="single" w:sz="4" w:space="0" w:color="auto"/>
              <w:bottom w:val="single" w:sz="4" w:space="0" w:color="auto"/>
              <w:right w:val="single" w:sz="4" w:space="0" w:color="auto"/>
            </w:tcBorders>
          </w:tcPr>
          <w:p w:rsidR="009F78A3" w:rsidRPr="00C05A94" w:rsidRDefault="009F78A3" w:rsidP="005F328B">
            <w:pPr>
              <w:pStyle w:val="BodyText2"/>
              <w:numPr>
                <w:ilvl w:val="0"/>
                <w:numId w:val="7"/>
              </w:numPr>
              <w:spacing w:after="0" w:line="240" w:lineRule="auto"/>
              <w:ind w:left="426" w:hanging="426"/>
              <w:rPr>
                <w:rFonts w:ascii="Times New Roman" w:hAnsi="Times New Roman" w:cs="Times New Roman"/>
                <w:bCs/>
                <w:sz w:val="20"/>
                <w:szCs w:val="20"/>
                <w:lang w:val="en-GB"/>
              </w:rPr>
            </w:pPr>
            <w:r w:rsidRPr="00C05A94">
              <w:rPr>
                <w:rFonts w:ascii="Times New Roman" w:hAnsi="Times New Roman" w:cs="Times New Roman"/>
                <w:bCs/>
                <w:sz w:val="20"/>
                <w:szCs w:val="20"/>
                <w:lang w:val="en-GB"/>
              </w:rPr>
              <w:t>Evidence of other projects applying project approaches</w:t>
            </w:r>
          </w:p>
        </w:tc>
      </w:tr>
    </w:tbl>
    <w:p w:rsidR="007A4C79" w:rsidRPr="00816BFB" w:rsidRDefault="007A4C79" w:rsidP="00427396">
      <w:pPr>
        <w:spacing w:line="240" w:lineRule="auto"/>
        <w:jc w:val="both"/>
        <w:rPr>
          <w:rFonts w:ascii="Times New Roman" w:hAnsi="Times New Roman" w:cs="Times New Roman"/>
          <w:lang w:val="en-GB"/>
        </w:rPr>
      </w:pPr>
    </w:p>
    <w:p w:rsidR="006A4BA5" w:rsidRPr="009A6510" w:rsidRDefault="006A4BA5" w:rsidP="009A6510">
      <w:pPr>
        <w:pStyle w:val="ListParagraph"/>
        <w:numPr>
          <w:ilvl w:val="0"/>
          <w:numId w:val="34"/>
        </w:numPr>
        <w:rPr>
          <w:rFonts w:ascii="Times New Roman" w:hAnsi="Times New Roman"/>
          <w:b/>
          <w:sz w:val="28"/>
          <w:szCs w:val="28"/>
          <w:lang w:val="en-GB"/>
        </w:rPr>
      </w:pPr>
      <w:r w:rsidRPr="009A6510">
        <w:rPr>
          <w:rFonts w:ascii="Times New Roman" w:hAnsi="Times New Roman"/>
          <w:lang w:val="en-GB"/>
        </w:rPr>
        <w:br w:type="page"/>
      </w:r>
      <w:r w:rsidR="00A94006">
        <w:rPr>
          <w:rFonts w:ascii="Times New Roman" w:hAnsi="Times New Roman"/>
          <w:b/>
          <w:sz w:val="28"/>
          <w:szCs w:val="28"/>
          <w:lang w:val="en-GB"/>
        </w:rPr>
        <w:lastRenderedPageBreak/>
        <w:t>Common Questions &amp; A</w:t>
      </w:r>
      <w:r w:rsidR="00D61D7F" w:rsidRPr="009A6510">
        <w:rPr>
          <w:rFonts w:ascii="Times New Roman" w:hAnsi="Times New Roman"/>
          <w:b/>
          <w:sz w:val="28"/>
          <w:szCs w:val="28"/>
          <w:lang w:val="en-GB"/>
        </w:rPr>
        <w:t>nswers</w:t>
      </w:r>
    </w:p>
    <w:p w:rsidR="00251DAF" w:rsidRPr="00816BFB" w:rsidRDefault="00251DAF" w:rsidP="00251DAF">
      <w:pPr>
        <w:pStyle w:val="ListParagraph"/>
        <w:spacing w:line="240" w:lineRule="auto"/>
        <w:jc w:val="both"/>
        <w:rPr>
          <w:rFonts w:ascii="Times New Roman" w:hAnsi="Times New Roman"/>
          <w:b/>
          <w:sz w:val="28"/>
          <w:szCs w:val="28"/>
          <w:lang w:val="en-GB"/>
        </w:rPr>
      </w:pPr>
    </w:p>
    <w:p w:rsidR="00D61D7F" w:rsidRPr="00D61D7F" w:rsidRDefault="00D61D7F" w:rsidP="00D61D7F">
      <w:pPr>
        <w:pStyle w:val="ListParagraph"/>
        <w:numPr>
          <w:ilvl w:val="0"/>
          <w:numId w:val="24"/>
        </w:numPr>
        <w:spacing w:after="120" w:line="240" w:lineRule="auto"/>
        <w:ind w:left="0" w:firstLine="0"/>
        <w:contextualSpacing w:val="0"/>
        <w:jc w:val="both"/>
        <w:rPr>
          <w:rFonts w:ascii="Times New Roman" w:hAnsi="Times New Roman"/>
          <w:b/>
          <w:i/>
          <w:sz w:val="24"/>
          <w:szCs w:val="24"/>
          <w:lang w:val="en-GB"/>
        </w:rPr>
      </w:pPr>
      <w:r w:rsidRPr="00D61D7F">
        <w:rPr>
          <w:rFonts w:ascii="Times New Roman" w:hAnsi="Times New Roman"/>
          <w:b/>
          <w:i/>
          <w:sz w:val="24"/>
          <w:szCs w:val="24"/>
          <w:lang w:val="en-GB"/>
        </w:rPr>
        <w:t>What is the recommended timeframe for a look-back study?</w:t>
      </w:r>
    </w:p>
    <w:p w:rsidR="00D61D7F" w:rsidRPr="00D61D7F" w:rsidRDefault="00CA312F" w:rsidP="00D61D7F">
      <w:pPr>
        <w:pStyle w:val="ListParagraph"/>
        <w:spacing w:after="120" w:line="240" w:lineRule="auto"/>
        <w:ind w:left="0"/>
        <w:contextualSpacing w:val="0"/>
        <w:jc w:val="both"/>
        <w:rPr>
          <w:rFonts w:ascii="Times New Roman" w:hAnsi="Times New Roman"/>
          <w:lang w:val="en-GB"/>
        </w:rPr>
      </w:pPr>
      <w:r>
        <w:rPr>
          <w:rFonts w:ascii="Times New Roman" w:hAnsi="Times New Roman"/>
          <w:lang w:val="en-GB"/>
        </w:rPr>
        <w:t>Two</w:t>
      </w:r>
      <w:r w:rsidR="00D61D7F" w:rsidRPr="00D61D7F">
        <w:rPr>
          <w:rFonts w:ascii="Times New Roman" w:hAnsi="Times New Roman"/>
          <w:lang w:val="en-GB"/>
        </w:rPr>
        <w:t xml:space="preserve"> years after the completion of the project was enough to reveal some aspects that were not seen during the final evaluation, especially on issues related to the CBM component and community structures and their relation to the local authorities. However, key issues, such as separation of gender roles and impact on the socio – economic situation, require longer time to become apparent. A timeframe of 3 to 5 years to conduct post-intervention studies would be recommendable though this is not a common practice in the sector yet.</w:t>
      </w:r>
    </w:p>
    <w:p w:rsidR="00D61D7F" w:rsidRPr="00D61D7F" w:rsidRDefault="00D61D7F" w:rsidP="00D61D7F">
      <w:pPr>
        <w:pStyle w:val="ListParagraph"/>
        <w:numPr>
          <w:ilvl w:val="0"/>
          <w:numId w:val="24"/>
        </w:numPr>
        <w:spacing w:after="120" w:line="240" w:lineRule="auto"/>
        <w:ind w:left="0" w:firstLine="0"/>
        <w:contextualSpacing w:val="0"/>
        <w:jc w:val="both"/>
        <w:rPr>
          <w:rFonts w:ascii="Times New Roman" w:hAnsi="Times New Roman"/>
          <w:b/>
          <w:i/>
          <w:sz w:val="24"/>
          <w:szCs w:val="24"/>
          <w:lang w:val="en-GB"/>
        </w:rPr>
      </w:pPr>
      <w:r w:rsidRPr="00D61D7F">
        <w:rPr>
          <w:rFonts w:ascii="Times New Roman" w:hAnsi="Times New Roman"/>
          <w:b/>
          <w:i/>
          <w:sz w:val="24"/>
          <w:szCs w:val="24"/>
          <w:lang w:val="en-GB"/>
        </w:rPr>
        <w:t>Should we carry out look-back studies for all WatSan projects in the Red Cross/Red Crescent?</w:t>
      </w:r>
    </w:p>
    <w:p w:rsidR="00D61D7F" w:rsidRDefault="00D61D7F" w:rsidP="00D61D7F">
      <w:pPr>
        <w:pStyle w:val="ListParagraph"/>
        <w:spacing w:after="120" w:line="240" w:lineRule="auto"/>
        <w:ind w:left="0"/>
        <w:contextualSpacing w:val="0"/>
        <w:jc w:val="both"/>
        <w:rPr>
          <w:rFonts w:ascii="Times New Roman" w:hAnsi="Times New Roman"/>
          <w:lang w:val="en-GB"/>
        </w:rPr>
      </w:pPr>
      <w:r w:rsidRPr="00D61D7F">
        <w:rPr>
          <w:rFonts w:ascii="Times New Roman" w:hAnsi="Times New Roman"/>
          <w:lang w:val="en-GB"/>
        </w:rPr>
        <w:t xml:space="preserve">There is no need to conduct a look back study for every single WatSan intervention (it is not feasible from the financial perspective). Possible scenarios where conducting a look back study would be pertinent are countries where the NS is heavily involved in the WatSan sector and the NS and donors are collectively interested in drawing lessons and identifying good practices for improving the design and management of future interventions. </w:t>
      </w:r>
    </w:p>
    <w:p w:rsidR="00D61D7F" w:rsidRPr="00D61D7F" w:rsidRDefault="00D61D7F" w:rsidP="00D61D7F">
      <w:pPr>
        <w:pStyle w:val="ListParagraph"/>
        <w:spacing w:after="120" w:line="240" w:lineRule="auto"/>
        <w:ind w:left="0"/>
        <w:contextualSpacing w:val="0"/>
        <w:jc w:val="both"/>
        <w:rPr>
          <w:rFonts w:ascii="Times New Roman" w:hAnsi="Times New Roman"/>
          <w:lang w:val="en-GB"/>
        </w:rPr>
      </w:pPr>
      <w:r w:rsidRPr="00D61D7F">
        <w:rPr>
          <w:rFonts w:ascii="Times New Roman" w:hAnsi="Times New Roman"/>
          <w:lang w:val="en-GB"/>
        </w:rPr>
        <w:t xml:space="preserve">Furthermore, in countries where there is interest in informing processes of decision-making and advocacy (for example, expanding, modifying or eliminating programs or policies). NSs building up their WatSan capacity might be interested in scaling up pilot projects or new methodologies / approaches. The </w:t>
      </w:r>
      <w:proofErr w:type="spellStart"/>
      <w:r w:rsidRPr="00D61D7F">
        <w:rPr>
          <w:rFonts w:ascii="Times New Roman" w:hAnsi="Times New Roman"/>
          <w:lang w:val="en-GB"/>
        </w:rPr>
        <w:t>ToR</w:t>
      </w:r>
      <w:proofErr w:type="spellEnd"/>
      <w:r w:rsidRPr="00D61D7F">
        <w:rPr>
          <w:rFonts w:ascii="Times New Roman" w:hAnsi="Times New Roman"/>
          <w:lang w:val="en-GB"/>
        </w:rPr>
        <w:t xml:space="preserve"> guiding these types of studies should always state the purpose of the evaluation, so expectations and results become clear to all partners involved.</w:t>
      </w:r>
    </w:p>
    <w:p w:rsidR="00D61D7F" w:rsidRPr="00D61D7F" w:rsidRDefault="00D61D7F" w:rsidP="00D61D7F">
      <w:pPr>
        <w:pStyle w:val="ListParagraph"/>
        <w:numPr>
          <w:ilvl w:val="0"/>
          <w:numId w:val="24"/>
        </w:numPr>
        <w:spacing w:after="120" w:line="240" w:lineRule="auto"/>
        <w:ind w:left="0" w:firstLine="0"/>
        <w:contextualSpacing w:val="0"/>
        <w:jc w:val="both"/>
        <w:rPr>
          <w:rFonts w:ascii="Times New Roman" w:hAnsi="Times New Roman"/>
          <w:b/>
          <w:i/>
          <w:sz w:val="24"/>
          <w:szCs w:val="24"/>
          <w:lang w:val="en-GB"/>
        </w:rPr>
      </w:pPr>
      <w:r w:rsidRPr="00D61D7F">
        <w:rPr>
          <w:rFonts w:ascii="Times New Roman" w:hAnsi="Times New Roman"/>
          <w:b/>
          <w:i/>
          <w:sz w:val="24"/>
          <w:szCs w:val="24"/>
          <w:lang w:val="en-GB"/>
        </w:rPr>
        <w:t>What is the best team composition for a look-back study?</w:t>
      </w:r>
    </w:p>
    <w:p w:rsidR="00D61D7F" w:rsidRDefault="00D61D7F" w:rsidP="00D61D7F">
      <w:pPr>
        <w:pStyle w:val="ListParagraph"/>
        <w:spacing w:after="120" w:line="240" w:lineRule="auto"/>
        <w:ind w:left="0"/>
        <w:contextualSpacing w:val="0"/>
        <w:jc w:val="both"/>
        <w:rPr>
          <w:rFonts w:ascii="Times New Roman" w:hAnsi="Times New Roman"/>
          <w:lang w:val="en-GB"/>
        </w:rPr>
      </w:pPr>
      <w:r w:rsidRPr="00D61D7F">
        <w:rPr>
          <w:rFonts w:ascii="Times New Roman" w:hAnsi="Times New Roman"/>
          <w:lang w:val="en-GB"/>
        </w:rPr>
        <w:t xml:space="preserve">Look back studies are costly and complex processes and appropriate skills need to be put in place. It is recommendable to use mixed teams with local staff from NSs and / or local Universities, consultancy firms, etc. together with international experts. Local staff can be responsible for data collection and processing, and interpretation of local data. International staff can provide technical assistance, advisory, quality control. Responsibilities of both parties should be clearly stated in the </w:t>
      </w:r>
      <w:proofErr w:type="spellStart"/>
      <w:r w:rsidRPr="00D61D7F">
        <w:rPr>
          <w:rFonts w:ascii="Times New Roman" w:hAnsi="Times New Roman"/>
          <w:lang w:val="en-GB"/>
        </w:rPr>
        <w:t>ToR</w:t>
      </w:r>
      <w:proofErr w:type="spellEnd"/>
      <w:r w:rsidRPr="00D61D7F">
        <w:rPr>
          <w:rFonts w:ascii="Times New Roman" w:hAnsi="Times New Roman"/>
          <w:lang w:val="en-GB"/>
        </w:rPr>
        <w:t>.</w:t>
      </w:r>
    </w:p>
    <w:p w:rsidR="00912F39" w:rsidRPr="00D61D7F" w:rsidRDefault="00D61D7F" w:rsidP="00D61D7F">
      <w:pPr>
        <w:pStyle w:val="ListParagraph"/>
        <w:numPr>
          <w:ilvl w:val="0"/>
          <w:numId w:val="24"/>
        </w:numPr>
        <w:spacing w:after="120" w:line="240" w:lineRule="auto"/>
        <w:ind w:left="0" w:firstLine="0"/>
        <w:contextualSpacing w:val="0"/>
        <w:jc w:val="both"/>
        <w:rPr>
          <w:rFonts w:ascii="Times New Roman" w:hAnsi="Times New Roman"/>
          <w:b/>
          <w:i/>
          <w:sz w:val="24"/>
          <w:szCs w:val="24"/>
          <w:lang w:val="en-GB"/>
        </w:rPr>
      </w:pPr>
      <w:r w:rsidRPr="00D61D7F">
        <w:rPr>
          <w:rFonts w:ascii="Times New Roman" w:hAnsi="Times New Roman"/>
          <w:b/>
          <w:i/>
          <w:sz w:val="24"/>
          <w:szCs w:val="24"/>
          <w:lang w:val="en-GB"/>
        </w:rPr>
        <w:t>Are donors willing to fund post-project evaluations?</w:t>
      </w:r>
    </w:p>
    <w:p w:rsidR="0004112A" w:rsidRPr="00816BFB" w:rsidRDefault="00912F39" w:rsidP="00D61D7F">
      <w:pPr>
        <w:pStyle w:val="ListParagraph"/>
        <w:spacing w:after="120" w:line="240" w:lineRule="auto"/>
        <w:ind w:left="0"/>
        <w:contextualSpacing w:val="0"/>
        <w:jc w:val="both"/>
        <w:rPr>
          <w:rFonts w:ascii="Times New Roman" w:hAnsi="Times New Roman"/>
          <w:b/>
          <w:sz w:val="28"/>
          <w:szCs w:val="28"/>
          <w:lang w:val="en-GB"/>
        </w:rPr>
      </w:pPr>
      <w:r>
        <w:rPr>
          <w:rFonts w:ascii="Times New Roman" w:hAnsi="Times New Roman"/>
          <w:lang w:val="en-GB"/>
        </w:rPr>
        <w:t>It is necessary to develop the M&amp;E agenda further in the Red Cross and start planning for M&amp;E initiatives beyond the project life. Thematic funding on M&amp;E need to be additionally explored and more advocacy work needs to be done with traditional WatSan donors (EU and respective governments). The initiative</w:t>
      </w:r>
      <w:r w:rsidR="00D61D7F">
        <w:rPr>
          <w:rFonts w:ascii="Times New Roman" w:hAnsi="Times New Roman"/>
          <w:lang w:val="en-GB"/>
        </w:rPr>
        <w:t>s</w:t>
      </w:r>
      <w:r>
        <w:rPr>
          <w:rFonts w:ascii="Times New Roman" w:hAnsi="Times New Roman"/>
          <w:lang w:val="en-GB"/>
        </w:rPr>
        <w:t xml:space="preserve"> by NLRC </w:t>
      </w:r>
      <w:r w:rsidR="00D61D7F">
        <w:rPr>
          <w:rFonts w:ascii="Times New Roman" w:hAnsi="Times New Roman"/>
          <w:lang w:val="en-GB"/>
        </w:rPr>
        <w:t xml:space="preserve">in Uganda and by IFRC, British Red Cross and Finnish Red Cross in Zimbabwe are </w:t>
      </w:r>
      <w:r>
        <w:rPr>
          <w:rFonts w:ascii="Times New Roman" w:hAnsi="Times New Roman"/>
          <w:lang w:val="en-GB"/>
        </w:rPr>
        <w:t>good example</w:t>
      </w:r>
      <w:r w:rsidR="00D61D7F">
        <w:rPr>
          <w:rFonts w:ascii="Times New Roman" w:hAnsi="Times New Roman"/>
          <w:lang w:val="en-GB"/>
        </w:rPr>
        <w:t>s</w:t>
      </w:r>
      <w:r>
        <w:rPr>
          <w:rFonts w:ascii="Times New Roman" w:hAnsi="Times New Roman"/>
          <w:lang w:val="en-GB"/>
        </w:rPr>
        <w:t xml:space="preserve"> of this.</w:t>
      </w:r>
    </w:p>
    <w:p w:rsidR="003055FC" w:rsidRPr="00816BFB" w:rsidRDefault="003055FC" w:rsidP="00280D4A">
      <w:pPr>
        <w:rPr>
          <w:rFonts w:ascii="Times New Roman" w:hAnsi="Times New Roman"/>
          <w:b/>
          <w:sz w:val="28"/>
          <w:szCs w:val="28"/>
          <w:lang w:val="en-GB"/>
        </w:rPr>
      </w:pPr>
    </w:p>
    <w:sectPr w:rsidR="003055FC" w:rsidRPr="00816BFB" w:rsidSect="005832D5">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23" w:rsidRDefault="002F5023" w:rsidP="00F905D3">
      <w:pPr>
        <w:spacing w:after="0" w:line="240" w:lineRule="auto"/>
      </w:pPr>
      <w:r>
        <w:separator/>
      </w:r>
    </w:p>
  </w:endnote>
  <w:endnote w:type="continuationSeparator" w:id="0">
    <w:p w:rsidR="002F5023" w:rsidRDefault="002F5023" w:rsidP="00F90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662"/>
      <w:docPartObj>
        <w:docPartGallery w:val="Page Numbers (Bottom of Page)"/>
        <w:docPartUnique/>
      </w:docPartObj>
    </w:sdtPr>
    <w:sdtEndPr>
      <w:rPr>
        <w:color w:val="7F7F7F" w:themeColor="background1" w:themeShade="7F"/>
        <w:spacing w:val="60"/>
      </w:rPr>
    </w:sdtEndPr>
    <w:sdtContent>
      <w:p w:rsidR="009A6510" w:rsidRDefault="00650489">
        <w:pPr>
          <w:pStyle w:val="Footer"/>
          <w:pBdr>
            <w:top w:val="single" w:sz="4" w:space="1" w:color="D9D9D9" w:themeColor="background1" w:themeShade="D9"/>
          </w:pBdr>
          <w:jc w:val="right"/>
        </w:pPr>
        <w:fldSimple w:instr=" PAGE   \* MERGEFORMAT ">
          <w:r w:rsidR="00956420">
            <w:rPr>
              <w:noProof/>
            </w:rPr>
            <w:t>6</w:t>
          </w:r>
        </w:fldSimple>
        <w:r w:rsidR="009A6510">
          <w:t xml:space="preserve"> | </w:t>
        </w:r>
        <w:r w:rsidR="009A6510">
          <w:rPr>
            <w:color w:val="7F7F7F" w:themeColor="background1" w:themeShade="7F"/>
            <w:spacing w:val="60"/>
          </w:rPr>
          <w:t>Page</w:t>
        </w:r>
      </w:p>
    </w:sdtContent>
  </w:sdt>
  <w:p w:rsidR="009A6510" w:rsidRDefault="009A65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661"/>
      <w:docPartObj>
        <w:docPartGallery w:val="Page Numbers (Bottom of Page)"/>
        <w:docPartUnique/>
      </w:docPartObj>
    </w:sdtPr>
    <w:sdtEndPr>
      <w:rPr>
        <w:color w:val="7F7F7F" w:themeColor="background1" w:themeShade="7F"/>
        <w:spacing w:val="60"/>
      </w:rPr>
    </w:sdtEndPr>
    <w:sdtContent>
      <w:p w:rsidR="009A6510" w:rsidRDefault="00650489">
        <w:pPr>
          <w:pStyle w:val="Footer"/>
          <w:pBdr>
            <w:top w:val="single" w:sz="4" w:space="1" w:color="D9D9D9" w:themeColor="background1" w:themeShade="D9"/>
          </w:pBdr>
          <w:jc w:val="right"/>
        </w:pPr>
        <w:fldSimple w:instr=" PAGE   \* MERGEFORMAT ">
          <w:r w:rsidR="00956420">
            <w:rPr>
              <w:noProof/>
            </w:rPr>
            <w:t>1</w:t>
          </w:r>
        </w:fldSimple>
        <w:r w:rsidR="009A6510">
          <w:t xml:space="preserve"> | </w:t>
        </w:r>
        <w:r w:rsidR="009A6510">
          <w:rPr>
            <w:color w:val="7F7F7F" w:themeColor="background1" w:themeShade="7F"/>
            <w:spacing w:val="60"/>
          </w:rPr>
          <w:t>Page</w:t>
        </w:r>
      </w:p>
    </w:sdtContent>
  </w:sdt>
  <w:p w:rsidR="009A6510" w:rsidRDefault="009A6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23" w:rsidRDefault="002F5023" w:rsidP="00F905D3">
      <w:pPr>
        <w:spacing w:after="0" w:line="240" w:lineRule="auto"/>
      </w:pPr>
      <w:r>
        <w:separator/>
      </w:r>
    </w:p>
  </w:footnote>
  <w:footnote w:type="continuationSeparator" w:id="0">
    <w:p w:rsidR="002F5023" w:rsidRDefault="002F5023" w:rsidP="00F90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 o:bullet="t">
        <v:imagedata r:id="rId1" o:title="BD21301_"/>
      </v:shape>
    </w:pict>
  </w:numPicBullet>
  <w:abstractNum w:abstractNumId="0">
    <w:nsid w:val="010B2CF1"/>
    <w:multiLevelType w:val="hybridMultilevel"/>
    <w:tmpl w:val="C500140E"/>
    <w:lvl w:ilvl="0" w:tplc="A4363C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D36F8"/>
    <w:multiLevelType w:val="hybridMultilevel"/>
    <w:tmpl w:val="2FC870B0"/>
    <w:lvl w:ilvl="0" w:tplc="0C2C4E7E">
      <w:start w:val="10"/>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B95039F"/>
    <w:multiLevelType w:val="hybridMultilevel"/>
    <w:tmpl w:val="337EB056"/>
    <w:lvl w:ilvl="0" w:tplc="5478F5B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B65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5F7E85"/>
    <w:multiLevelType w:val="hybridMultilevel"/>
    <w:tmpl w:val="68D09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87454"/>
    <w:multiLevelType w:val="hybridMultilevel"/>
    <w:tmpl w:val="6AA0E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5238E4"/>
    <w:multiLevelType w:val="hybridMultilevel"/>
    <w:tmpl w:val="A6EE649C"/>
    <w:lvl w:ilvl="0" w:tplc="58F06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67DA5"/>
    <w:multiLevelType w:val="multilevel"/>
    <w:tmpl w:val="E06E88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8C111D"/>
    <w:multiLevelType w:val="hybridMultilevel"/>
    <w:tmpl w:val="10086DA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nsid w:val="1BF25B31"/>
    <w:multiLevelType w:val="hybridMultilevel"/>
    <w:tmpl w:val="721286E8"/>
    <w:lvl w:ilvl="0" w:tplc="A55E8562">
      <w:start w:val="1"/>
      <w:numFmt w:val="bullet"/>
      <w:lvlText w:val=""/>
      <w:lvlJc w:val="left"/>
      <w:pPr>
        <w:tabs>
          <w:tab w:val="num" w:pos="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D027D28"/>
    <w:multiLevelType w:val="hybridMultilevel"/>
    <w:tmpl w:val="6CD23EEC"/>
    <w:lvl w:ilvl="0" w:tplc="5478F5B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56118"/>
    <w:multiLevelType w:val="multilevel"/>
    <w:tmpl w:val="D1728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E01D13"/>
    <w:multiLevelType w:val="hybridMultilevel"/>
    <w:tmpl w:val="503E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B23DD"/>
    <w:multiLevelType w:val="hybridMultilevel"/>
    <w:tmpl w:val="FF621454"/>
    <w:lvl w:ilvl="0" w:tplc="A55E8562">
      <w:start w:val="1"/>
      <w:numFmt w:val="bullet"/>
      <w:lvlText w:val=""/>
      <w:lvlJc w:val="left"/>
      <w:pPr>
        <w:tabs>
          <w:tab w:val="num" w:pos="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F0F20EE"/>
    <w:multiLevelType w:val="multilevel"/>
    <w:tmpl w:val="D4B27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0E624C4"/>
    <w:multiLevelType w:val="hybridMultilevel"/>
    <w:tmpl w:val="12EC2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BF7477"/>
    <w:multiLevelType w:val="multilevel"/>
    <w:tmpl w:val="8A86A842"/>
    <w:lvl w:ilvl="0">
      <w:start w:val="1"/>
      <w:numFmt w:val="decimal"/>
      <w:lvlText w:val="%1."/>
      <w:lvlJc w:val="left"/>
      <w:pPr>
        <w:ind w:left="720" w:hanging="360"/>
      </w:pPr>
      <w:rPr>
        <w:rFonts w:hint="default"/>
      </w:rPr>
    </w:lvl>
    <w:lvl w:ilvl="1">
      <w:start w:val="1"/>
      <w:numFmt w:val="bullet"/>
      <w:lvlText w:val=""/>
      <w:lvlPicBulletId w:val="0"/>
      <w:lvlJc w:val="left"/>
      <w:pPr>
        <w:ind w:left="1080" w:hanging="720"/>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8473BE7"/>
    <w:multiLevelType w:val="hybridMultilevel"/>
    <w:tmpl w:val="8E68C6C2"/>
    <w:lvl w:ilvl="0" w:tplc="3E129E0A">
      <w:start w:val="10"/>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A370EF5"/>
    <w:multiLevelType w:val="hybridMultilevel"/>
    <w:tmpl w:val="6082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457528"/>
    <w:multiLevelType w:val="multilevel"/>
    <w:tmpl w:val="026A1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FA1CA6"/>
    <w:multiLevelType w:val="hybridMultilevel"/>
    <w:tmpl w:val="61FA495C"/>
    <w:lvl w:ilvl="0" w:tplc="58F066B0">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2FD2B14"/>
    <w:multiLevelType w:val="hybridMultilevel"/>
    <w:tmpl w:val="012C4E30"/>
    <w:lvl w:ilvl="0" w:tplc="3E129E0A">
      <w:start w:val="10"/>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49A09F4"/>
    <w:multiLevelType w:val="hybridMultilevel"/>
    <w:tmpl w:val="02B29DB2"/>
    <w:lvl w:ilvl="0" w:tplc="2C901352">
      <w:start w:val="10"/>
      <w:numFmt w:val="bullet"/>
      <w:lvlText w:val=""/>
      <w:lvlJc w:val="left"/>
      <w:pPr>
        <w:tabs>
          <w:tab w:val="num" w:pos="340"/>
        </w:tabs>
        <w:ind w:left="340" w:hanging="340"/>
      </w:pPr>
      <w:rPr>
        <w:rFonts w:ascii="Symbol" w:hAnsi="Symbol" w:hint="default"/>
      </w:rPr>
    </w:lvl>
    <w:lvl w:ilvl="1" w:tplc="0C2C4E7E">
      <w:start w:val="10"/>
      <w:numFmt w:val="bullet"/>
      <w:lvlText w:val=""/>
      <w:lvlJc w:val="left"/>
      <w:pPr>
        <w:tabs>
          <w:tab w:val="num" w:pos="1420"/>
        </w:tabs>
        <w:ind w:left="1420" w:hanging="34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68D5F8A"/>
    <w:multiLevelType w:val="hybridMultilevel"/>
    <w:tmpl w:val="174C219E"/>
    <w:lvl w:ilvl="0" w:tplc="58F06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6177CE"/>
    <w:multiLevelType w:val="multilevel"/>
    <w:tmpl w:val="D1728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8E6DE9"/>
    <w:multiLevelType w:val="hybridMultilevel"/>
    <w:tmpl w:val="61C42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353FD7"/>
    <w:multiLevelType w:val="multilevel"/>
    <w:tmpl w:val="D1728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0C138C7"/>
    <w:multiLevelType w:val="hybridMultilevel"/>
    <w:tmpl w:val="BC581FDA"/>
    <w:lvl w:ilvl="0" w:tplc="0C2C4E7E">
      <w:start w:val="10"/>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86D05DF"/>
    <w:multiLevelType w:val="hybridMultilevel"/>
    <w:tmpl w:val="B7B29F16"/>
    <w:lvl w:ilvl="0" w:tplc="C91497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D47DA3"/>
    <w:multiLevelType w:val="hybridMultilevel"/>
    <w:tmpl w:val="ED5EAF86"/>
    <w:lvl w:ilvl="0" w:tplc="D5862D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642978"/>
    <w:multiLevelType w:val="hybridMultilevel"/>
    <w:tmpl w:val="197CFD20"/>
    <w:lvl w:ilvl="0" w:tplc="A55E8562">
      <w:start w:val="1"/>
      <w:numFmt w:val="bullet"/>
      <w:lvlText w:val=""/>
      <w:lvlJc w:val="left"/>
      <w:pPr>
        <w:tabs>
          <w:tab w:val="num" w:pos="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00749B8"/>
    <w:multiLevelType w:val="hybridMultilevel"/>
    <w:tmpl w:val="D27ECCCA"/>
    <w:lvl w:ilvl="0" w:tplc="58F06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2B23FB"/>
    <w:multiLevelType w:val="hybridMultilevel"/>
    <w:tmpl w:val="22C2E544"/>
    <w:lvl w:ilvl="0" w:tplc="58F06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A2829"/>
    <w:multiLevelType w:val="hybridMultilevel"/>
    <w:tmpl w:val="47DE9112"/>
    <w:lvl w:ilvl="0" w:tplc="EB8880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7B6940"/>
    <w:multiLevelType w:val="hybridMultilevel"/>
    <w:tmpl w:val="B8A64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9F4B87"/>
    <w:multiLevelType w:val="multilevel"/>
    <w:tmpl w:val="4F7EE6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D076747"/>
    <w:multiLevelType w:val="hybridMultilevel"/>
    <w:tmpl w:val="730AE6C4"/>
    <w:lvl w:ilvl="0" w:tplc="58F066B0">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0"/>
  </w:num>
  <w:num w:numId="4">
    <w:abstractNumId w:val="13"/>
  </w:num>
  <w:num w:numId="5">
    <w:abstractNumId w:val="9"/>
  </w:num>
  <w:num w:numId="6">
    <w:abstractNumId w:val="34"/>
  </w:num>
  <w:num w:numId="7">
    <w:abstractNumId w:val="8"/>
  </w:num>
  <w:num w:numId="8">
    <w:abstractNumId w:val="1"/>
  </w:num>
  <w:num w:numId="9">
    <w:abstractNumId w:val="27"/>
  </w:num>
  <w:num w:numId="10">
    <w:abstractNumId w:val="22"/>
  </w:num>
  <w:num w:numId="11">
    <w:abstractNumId w:val="17"/>
  </w:num>
  <w:num w:numId="12">
    <w:abstractNumId w:val="21"/>
  </w:num>
  <w:num w:numId="13">
    <w:abstractNumId w:val="30"/>
  </w:num>
  <w:num w:numId="14">
    <w:abstractNumId w:val="7"/>
  </w:num>
  <w:num w:numId="15">
    <w:abstractNumId w:val="12"/>
  </w:num>
  <w:num w:numId="16">
    <w:abstractNumId w:val="2"/>
  </w:num>
  <w:num w:numId="17">
    <w:abstractNumId w:val="35"/>
  </w:num>
  <w:num w:numId="18">
    <w:abstractNumId w:val="25"/>
  </w:num>
  <w:num w:numId="19">
    <w:abstractNumId w:val="28"/>
  </w:num>
  <w:num w:numId="20">
    <w:abstractNumId w:val="3"/>
  </w:num>
  <w:num w:numId="21">
    <w:abstractNumId w:val="14"/>
  </w:num>
  <w:num w:numId="22">
    <w:abstractNumId w:val="16"/>
  </w:num>
  <w:num w:numId="23">
    <w:abstractNumId w:val="32"/>
  </w:num>
  <w:num w:numId="24">
    <w:abstractNumId w:val="23"/>
  </w:num>
  <w:num w:numId="25">
    <w:abstractNumId w:val="6"/>
  </w:num>
  <w:num w:numId="26">
    <w:abstractNumId w:val="20"/>
  </w:num>
  <w:num w:numId="27">
    <w:abstractNumId w:val="24"/>
  </w:num>
  <w:num w:numId="28">
    <w:abstractNumId w:val="36"/>
  </w:num>
  <w:num w:numId="29">
    <w:abstractNumId w:val="11"/>
  </w:num>
  <w:num w:numId="30">
    <w:abstractNumId w:val="26"/>
  </w:num>
  <w:num w:numId="31">
    <w:abstractNumId w:val="31"/>
  </w:num>
  <w:num w:numId="32">
    <w:abstractNumId w:val="33"/>
  </w:num>
  <w:num w:numId="33">
    <w:abstractNumId w:val="5"/>
  </w:num>
  <w:num w:numId="34">
    <w:abstractNumId w:val="29"/>
  </w:num>
  <w:num w:numId="35">
    <w:abstractNumId w:val="0"/>
  </w:num>
  <w:num w:numId="36">
    <w:abstractNumId w:val="4"/>
  </w:num>
  <w:num w:numId="3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2653"/>
    <w:rsid w:val="00000CB0"/>
    <w:rsid w:val="00002036"/>
    <w:rsid w:val="00004D34"/>
    <w:rsid w:val="00006477"/>
    <w:rsid w:val="00012234"/>
    <w:rsid w:val="00015C68"/>
    <w:rsid w:val="000163B6"/>
    <w:rsid w:val="00016EED"/>
    <w:rsid w:val="00017312"/>
    <w:rsid w:val="00021867"/>
    <w:rsid w:val="00035FA7"/>
    <w:rsid w:val="0004112A"/>
    <w:rsid w:val="00041B83"/>
    <w:rsid w:val="00042E82"/>
    <w:rsid w:val="00044802"/>
    <w:rsid w:val="000540B5"/>
    <w:rsid w:val="00056FA7"/>
    <w:rsid w:val="00061987"/>
    <w:rsid w:val="000632B1"/>
    <w:rsid w:val="00063B73"/>
    <w:rsid w:val="000667A7"/>
    <w:rsid w:val="0006706D"/>
    <w:rsid w:val="0007439A"/>
    <w:rsid w:val="000756AE"/>
    <w:rsid w:val="000768F2"/>
    <w:rsid w:val="00076E05"/>
    <w:rsid w:val="00082E92"/>
    <w:rsid w:val="00084175"/>
    <w:rsid w:val="00084AFC"/>
    <w:rsid w:val="00084B13"/>
    <w:rsid w:val="00085EB1"/>
    <w:rsid w:val="00090EC8"/>
    <w:rsid w:val="00091581"/>
    <w:rsid w:val="00092D49"/>
    <w:rsid w:val="00092E68"/>
    <w:rsid w:val="00097415"/>
    <w:rsid w:val="000A3B68"/>
    <w:rsid w:val="000A46A4"/>
    <w:rsid w:val="000A58FE"/>
    <w:rsid w:val="000B40B8"/>
    <w:rsid w:val="000B6DCD"/>
    <w:rsid w:val="000C05C9"/>
    <w:rsid w:val="000C4801"/>
    <w:rsid w:val="000C7924"/>
    <w:rsid w:val="000D47E0"/>
    <w:rsid w:val="000E047A"/>
    <w:rsid w:val="000E301D"/>
    <w:rsid w:val="000E3A9F"/>
    <w:rsid w:val="000E4D71"/>
    <w:rsid w:val="000F325A"/>
    <w:rsid w:val="000F3A74"/>
    <w:rsid w:val="000F403F"/>
    <w:rsid w:val="00101E17"/>
    <w:rsid w:val="00103C5A"/>
    <w:rsid w:val="00107997"/>
    <w:rsid w:val="00111835"/>
    <w:rsid w:val="00115C2B"/>
    <w:rsid w:val="00115F5E"/>
    <w:rsid w:val="00117A4E"/>
    <w:rsid w:val="001222E4"/>
    <w:rsid w:val="001313D7"/>
    <w:rsid w:val="00131E84"/>
    <w:rsid w:val="00132884"/>
    <w:rsid w:val="00133B50"/>
    <w:rsid w:val="00140C1B"/>
    <w:rsid w:val="00145E58"/>
    <w:rsid w:val="0014790B"/>
    <w:rsid w:val="00147959"/>
    <w:rsid w:val="001509CE"/>
    <w:rsid w:val="0015701D"/>
    <w:rsid w:val="00157490"/>
    <w:rsid w:val="00160DC4"/>
    <w:rsid w:val="00161B24"/>
    <w:rsid w:val="00165C60"/>
    <w:rsid w:val="001726C8"/>
    <w:rsid w:val="001746D1"/>
    <w:rsid w:val="00176B1D"/>
    <w:rsid w:val="00182653"/>
    <w:rsid w:val="001837E2"/>
    <w:rsid w:val="001862E2"/>
    <w:rsid w:val="001872F1"/>
    <w:rsid w:val="00194DD1"/>
    <w:rsid w:val="001965F4"/>
    <w:rsid w:val="001A0355"/>
    <w:rsid w:val="001A0C95"/>
    <w:rsid w:val="001A7479"/>
    <w:rsid w:val="001A752E"/>
    <w:rsid w:val="001B198C"/>
    <w:rsid w:val="001B1A9B"/>
    <w:rsid w:val="001B45A5"/>
    <w:rsid w:val="001B6749"/>
    <w:rsid w:val="001B79FC"/>
    <w:rsid w:val="001B7E59"/>
    <w:rsid w:val="001C2B15"/>
    <w:rsid w:val="001C4B88"/>
    <w:rsid w:val="001D30F9"/>
    <w:rsid w:val="001D624E"/>
    <w:rsid w:val="001D64D3"/>
    <w:rsid w:val="001D7F1D"/>
    <w:rsid w:val="001E2145"/>
    <w:rsid w:val="001E41D8"/>
    <w:rsid w:val="001E532F"/>
    <w:rsid w:val="001F0E3B"/>
    <w:rsid w:val="001F28C4"/>
    <w:rsid w:val="001F4B87"/>
    <w:rsid w:val="00200A2A"/>
    <w:rsid w:val="00200B58"/>
    <w:rsid w:val="00203089"/>
    <w:rsid w:val="0020338F"/>
    <w:rsid w:val="00227BF2"/>
    <w:rsid w:val="00233CE4"/>
    <w:rsid w:val="002358DF"/>
    <w:rsid w:val="002515C3"/>
    <w:rsid w:val="00251DAF"/>
    <w:rsid w:val="00251E65"/>
    <w:rsid w:val="00255914"/>
    <w:rsid w:val="00271F6D"/>
    <w:rsid w:val="00272E88"/>
    <w:rsid w:val="00272FC9"/>
    <w:rsid w:val="00277198"/>
    <w:rsid w:val="00280D4A"/>
    <w:rsid w:val="00281BAE"/>
    <w:rsid w:val="00282A86"/>
    <w:rsid w:val="00282E73"/>
    <w:rsid w:val="00286D14"/>
    <w:rsid w:val="0028752D"/>
    <w:rsid w:val="00291A5B"/>
    <w:rsid w:val="002941C4"/>
    <w:rsid w:val="00296557"/>
    <w:rsid w:val="0029712B"/>
    <w:rsid w:val="002972D4"/>
    <w:rsid w:val="002A1F45"/>
    <w:rsid w:val="002A42AB"/>
    <w:rsid w:val="002B14A3"/>
    <w:rsid w:val="002B470E"/>
    <w:rsid w:val="002C2DB0"/>
    <w:rsid w:val="002C2E95"/>
    <w:rsid w:val="002C616B"/>
    <w:rsid w:val="002D00C2"/>
    <w:rsid w:val="002D4116"/>
    <w:rsid w:val="002D463A"/>
    <w:rsid w:val="002D5FF7"/>
    <w:rsid w:val="002E29BE"/>
    <w:rsid w:val="002E3288"/>
    <w:rsid w:val="002E38AC"/>
    <w:rsid w:val="002E43C7"/>
    <w:rsid w:val="002F13AD"/>
    <w:rsid w:val="002F15E4"/>
    <w:rsid w:val="002F24E5"/>
    <w:rsid w:val="002F5023"/>
    <w:rsid w:val="00302229"/>
    <w:rsid w:val="0030254A"/>
    <w:rsid w:val="003055FC"/>
    <w:rsid w:val="003122A4"/>
    <w:rsid w:val="00313AD9"/>
    <w:rsid w:val="0031554E"/>
    <w:rsid w:val="003171C9"/>
    <w:rsid w:val="003171CD"/>
    <w:rsid w:val="00320AFA"/>
    <w:rsid w:val="00323495"/>
    <w:rsid w:val="00323975"/>
    <w:rsid w:val="00325F30"/>
    <w:rsid w:val="00327647"/>
    <w:rsid w:val="00330ED4"/>
    <w:rsid w:val="00331A34"/>
    <w:rsid w:val="00335F33"/>
    <w:rsid w:val="003379ED"/>
    <w:rsid w:val="0034270A"/>
    <w:rsid w:val="003433CF"/>
    <w:rsid w:val="00355CBE"/>
    <w:rsid w:val="00361A3D"/>
    <w:rsid w:val="003661F7"/>
    <w:rsid w:val="00367693"/>
    <w:rsid w:val="00367CF8"/>
    <w:rsid w:val="003740D3"/>
    <w:rsid w:val="00382F35"/>
    <w:rsid w:val="00384790"/>
    <w:rsid w:val="00391BB9"/>
    <w:rsid w:val="003A6432"/>
    <w:rsid w:val="003B1BCF"/>
    <w:rsid w:val="003B32BB"/>
    <w:rsid w:val="003B3AB5"/>
    <w:rsid w:val="003B43F2"/>
    <w:rsid w:val="003B793F"/>
    <w:rsid w:val="003C0CA4"/>
    <w:rsid w:val="003C189A"/>
    <w:rsid w:val="003C1BFB"/>
    <w:rsid w:val="003D0B8B"/>
    <w:rsid w:val="003D4655"/>
    <w:rsid w:val="003D4B0D"/>
    <w:rsid w:val="003D5C3E"/>
    <w:rsid w:val="003E0DB2"/>
    <w:rsid w:val="003E2B2A"/>
    <w:rsid w:val="003E5173"/>
    <w:rsid w:val="003F0A83"/>
    <w:rsid w:val="003F243C"/>
    <w:rsid w:val="003F24B4"/>
    <w:rsid w:val="003F41C7"/>
    <w:rsid w:val="0040226C"/>
    <w:rsid w:val="00407BB4"/>
    <w:rsid w:val="0041182F"/>
    <w:rsid w:val="00417E27"/>
    <w:rsid w:val="00420DDB"/>
    <w:rsid w:val="00424A90"/>
    <w:rsid w:val="00427396"/>
    <w:rsid w:val="00431338"/>
    <w:rsid w:val="004319D6"/>
    <w:rsid w:val="00431DAF"/>
    <w:rsid w:val="00435071"/>
    <w:rsid w:val="00435758"/>
    <w:rsid w:val="0044033E"/>
    <w:rsid w:val="004417A5"/>
    <w:rsid w:val="00442056"/>
    <w:rsid w:val="004475AD"/>
    <w:rsid w:val="00451421"/>
    <w:rsid w:val="00452656"/>
    <w:rsid w:val="00457247"/>
    <w:rsid w:val="00460C1E"/>
    <w:rsid w:val="00461ED9"/>
    <w:rsid w:val="00465B20"/>
    <w:rsid w:val="0046735D"/>
    <w:rsid w:val="0047517D"/>
    <w:rsid w:val="00476041"/>
    <w:rsid w:val="00484347"/>
    <w:rsid w:val="00484379"/>
    <w:rsid w:val="00486FE6"/>
    <w:rsid w:val="00494B5D"/>
    <w:rsid w:val="00496FAD"/>
    <w:rsid w:val="004979CE"/>
    <w:rsid w:val="004A6457"/>
    <w:rsid w:val="004B0F55"/>
    <w:rsid w:val="004B317E"/>
    <w:rsid w:val="004B4106"/>
    <w:rsid w:val="004B4413"/>
    <w:rsid w:val="004B4636"/>
    <w:rsid w:val="004B4872"/>
    <w:rsid w:val="004B6DC9"/>
    <w:rsid w:val="004C03D2"/>
    <w:rsid w:val="004C17D1"/>
    <w:rsid w:val="004C29DE"/>
    <w:rsid w:val="004C4202"/>
    <w:rsid w:val="004C4340"/>
    <w:rsid w:val="004D1259"/>
    <w:rsid w:val="004D17E9"/>
    <w:rsid w:val="004D674D"/>
    <w:rsid w:val="004E2603"/>
    <w:rsid w:val="004E5B72"/>
    <w:rsid w:val="004F0019"/>
    <w:rsid w:val="004F520B"/>
    <w:rsid w:val="004F5490"/>
    <w:rsid w:val="005013B8"/>
    <w:rsid w:val="005038BF"/>
    <w:rsid w:val="0050412E"/>
    <w:rsid w:val="005104EC"/>
    <w:rsid w:val="00510951"/>
    <w:rsid w:val="0051783C"/>
    <w:rsid w:val="005264B7"/>
    <w:rsid w:val="00530A77"/>
    <w:rsid w:val="00532901"/>
    <w:rsid w:val="005375A3"/>
    <w:rsid w:val="005505F6"/>
    <w:rsid w:val="00550C61"/>
    <w:rsid w:val="0055619F"/>
    <w:rsid w:val="00562208"/>
    <w:rsid w:val="00563E47"/>
    <w:rsid w:val="00563F33"/>
    <w:rsid w:val="005668FE"/>
    <w:rsid w:val="00566A9F"/>
    <w:rsid w:val="00570E45"/>
    <w:rsid w:val="005740ED"/>
    <w:rsid w:val="005832D5"/>
    <w:rsid w:val="005839EF"/>
    <w:rsid w:val="00583D43"/>
    <w:rsid w:val="00583EFC"/>
    <w:rsid w:val="0058450D"/>
    <w:rsid w:val="0058603F"/>
    <w:rsid w:val="005866CF"/>
    <w:rsid w:val="00587F0A"/>
    <w:rsid w:val="00591145"/>
    <w:rsid w:val="00592D20"/>
    <w:rsid w:val="00593AB8"/>
    <w:rsid w:val="00594F57"/>
    <w:rsid w:val="005A13F9"/>
    <w:rsid w:val="005B6492"/>
    <w:rsid w:val="005C1D17"/>
    <w:rsid w:val="005C2337"/>
    <w:rsid w:val="005C594C"/>
    <w:rsid w:val="005D166F"/>
    <w:rsid w:val="005D735C"/>
    <w:rsid w:val="005E20AF"/>
    <w:rsid w:val="005E320D"/>
    <w:rsid w:val="005E40FE"/>
    <w:rsid w:val="005E5089"/>
    <w:rsid w:val="005E51DD"/>
    <w:rsid w:val="005E5F70"/>
    <w:rsid w:val="005E7DD4"/>
    <w:rsid w:val="005F0D45"/>
    <w:rsid w:val="005F28E7"/>
    <w:rsid w:val="005F328B"/>
    <w:rsid w:val="005F71C8"/>
    <w:rsid w:val="00602685"/>
    <w:rsid w:val="00602999"/>
    <w:rsid w:val="00603164"/>
    <w:rsid w:val="006106CE"/>
    <w:rsid w:val="006129E9"/>
    <w:rsid w:val="00616FE8"/>
    <w:rsid w:val="00623831"/>
    <w:rsid w:val="00625D56"/>
    <w:rsid w:val="006279C3"/>
    <w:rsid w:val="00627BA5"/>
    <w:rsid w:val="00634E6B"/>
    <w:rsid w:val="00640E2F"/>
    <w:rsid w:val="00644D3A"/>
    <w:rsid w:val="006459EC"/>
    <w:rsid w:val="00650489"/>
    <w:rsid w:val="00651477"/>
    <w:rsid w:val="00651775"/>
    <w:rsid w:val="0065351E"/>
    <w:rsid w:val="00653E27"/>
    <w:rsid w:val="00654B01"/>
    <w:rsid w:val="00662412"/>
    <w:rsid w:val="00662E4C"/>
    <w:rsid w:val="006673EF"/>
    <w:rsid w:val="006714DA"/>
    <w:rsid w:val="0067298D"/>
    <w:rsid w:val="00674089"/>
    <w:rsid w:val="00674485"/>
    <w:rsid w:val="00680D93"/>
    <w:rsid w:val="006828FA"/>
    <w:rsid w:val="006832EC"/>
    <w:rsid w:val="00685B17"/>
    <w:rsid w:val="0069053A"/>
    <w:rsid w:val="00692BF8"/>
    <w:rsid w:val="00694196"/>
    <w:rsid w:val="00695856"/>
    <w:rsid w:val="00696CFC"/>
    <w:rsid w:val="00696FFB"/>
    <w:rsid w:val="006A02E1"/>
    <w:rsid w:val="006A0BCB"/>
    <w:rsid w:val="006A17BC"/>
    <w:rsid w:val="006A4BA5"/>
    <w:rsid w:val="006A568E"/>
    <w:rsid w:val="006A61BC"/>
    <w:rsid w:val="006B5464"/>
    <w:rsid w:val="006C06B7"/>
    <w:rsid w:val="006C217F"/>
    <w:rsid w:val="006D39CF"/>
    <w:rsid w:val="006D3B9F"/>
    <w:rsid w:val="006D3C7F"/>
    <w:rsid w:val="006D7C90"/>
    <w:rsid w:val="006E21E7"/>
    <w:rsid w:val="006E6450"/>
    <w:rsid w:val="006F3A38"/>
    <w:rsid w:val="006F4851"/>
    <w:rsid w:val="006F4934"/>
    <w:rsid w:val="006F5938"/>
    <w:rsid w:val="00700073"/>
    <w:rsid w:val="007002C8"/>
    <w:rsid w:val="00701101"/>
    <w:rsid w:val="007049A1"/>
    <w:rsid w:val="00704E16"/>
    <w:rsid w:val="00706F7C"/>
    <w:rsid w:val="007070E4"/>
    <w:rsid w:val="0070740D"/>
    <w:rsid w:val="0070788E"/>
    <w:rsid w:val="00710224"/>
    <w:rsid w:val="0071349D"/>
    <w:rsid w:val="00713D3C"/>
    <w:rsid w:val="00713FB3"/>
    <w:rsid w:val="00716EA2"/>
    <w:rsid w:val="00716F16"/>
    <w:rsid w:val="00720026"/>
    <w:rsid w:val="00721E6F"/>
    <w:rsid w:val="00724672"/>
    <w:rsid w:val="00726A13"/>
    <w:rsid w:val="0073103B"/>
    <w:rsid w:val="00732B5D"/>
    <w:rsid w:val="00734F86"/>
    <w:rsid w:val="00736C6F"/>
    <w:rsid w:val="007373FE"/>
    <w:rsid w:val="00741016"/>
    <w:rsid w:val="00742B06"/>
    <w:rsid w:val="00743D28"/>
    <w:rsid w:val="007444DE"/>
    <w:rsid w:val="00746477"/>
    <w:rsid w:val="007528EC"/>
    <w:rsid w:val="00752AD6"/>
    <w:rsid w:val="00753ED8"/>
    <w:rsid w:val="00766A53"/>
    <w:rsid w:val="007671F7"/>
    <w:rsid w:val="00770739"/>
    <w:rsid w:val="00774F8A"/>
    <w:rsid w:val="0077604F"/>
    <w:rsid w:val="00780915"/>
    <w:rsid w:val="00784289"/>
    <w:rsid w:val="00784BD2"/>
    <w:rsid w:val="00791408"/>
    <w:rsid w:val="00791409"/>
    <w:rsid w:val="00795F20"/>
    <w:rsid w:val="00796CB9"/>
    <w:rsid w:val="007A0E97"/>
    <w:rsid w:val="007A4C79"/>
    <w:rsid w:val="007A515B"/>
    <w:rsid w:val="007A7444"/>
    <w:rsid w:val="007B7EA2"/>
    <w:rsid w:val="007C0ECD"/>
    <w:rsid w:val="007C2B51"/>
    <w:rsid w:val="007C33AA"/>
    <w:rsid w:val="007C6C64"/>
    <w:rsid w:val="007D114B"/>
    <w:rsid w:val="007D123A"/>
    <w:rsid w:val="007D4900"/>
    <w:rsid w:val="007D5086"/>
    <w:rsid w:val="007E03E5"/>
    <w:rsid w:val="007E1294"/>
    <w:rsid w:val="007E2D05"/>
    <w:rsid w:val="007E2DEB"/>
    <w:rsid w:val="007E47A7"/>
    <w:rsid w:val="007F0AC1"/>
    <w:rsid w:val="007F470B"/>
    <w:rsid w:val="00804043"/>
    <w:rsid w:val="008053B8"/>
    <w:rsid w:val="00812054"/>
    <w:rsid w:val="0081215E"/>
    <w:rsid w:val="008126DF"/>
    <w:rsid w:val="00815600"/>
    <w:rsid w:val="00816BFB"/>
    <w:rsid w:val="00816EDA"/>
    <w:rsid w:val="00817A82"/>
    <w:rsid w:val="00822774"/>
    <w:rsid w:val="0082410D"/>
    <w:rsid w:val="00827EA6"/>
    <w:rsid w:val="00832304"/>
    <w:rsid w:val="00833869"/>
    <w:rsid w:val="008339AC"/>
    <w:rsid w:val="00836125"/>
    <w:rsid w:val="00837235"/>
    <w:rsid w:val="0084276D"/>
    <w:rsid w:val="00846209"/>
    <w:rsid w:val="008475BA"/>
    <w:rsid w:val="008513C6"/>
    <w:rsid w:val="0085284C"/>
    <w:rsid w:val="008531C6"/>
    <w:rsid w:val="00853317"/>
    <w:rsid w:val="008553E9"/>
    <w:rsid w:val="00857FE2"/>
    <w:rsid w:val="008620F9"/>
    <w:rsid w:val="00863303"/>
    <w:rsid w:val="00866F55"/>
    <w:rsid w:val="00871C6A"/>
    <w:rsid w:val="00875277"/>
    <w:rsid w:val="0088768F"/>
    <w:rsid w:val="008877EE"/>
    <w:rsid w:val="00892723"/>
    <w:rsid w:val="00892BF0"/>
    <w:rsid w:val="008A0A2E"/>
    <w:rsid w:val="008A20CE"/>
    <w:rsid w:val="008A45D3"/>
    <w:rsid w:val="008A4739"/>
    <w:rsid w:val="008A5350"/>
    <w:rsid w:val="008A7D2B"/>
    <w:rsid w:val="008B3D98"/>
    <w:rsid w:val="008B5C60"/>
    <w:rsid w:val="008C3E44"/>
    <w:rsid w:val="008C7986"/>
    <w:rsid w:val="008C7F9D"/>
    <w:rsid w:val="008D1E04"/>
    <w:rsid w:val="008D219D"/>
    <w:rsid w:val="008D63A3"/>
    <w:rsid w:val="008D6881"/>
    <w:rsid w:val="008D710A"/>
    <w:rsid w:val="008E0F35"/>
    <w:rsid w:val="008E22A8"/>
    <w:rsid w:val="008E35EB"/>
    <w:rsid w:val="008E3A0D"/>
    <w:rsid w:val="008E4150"/>
    <w:rsid w:val="008E6FBB"/>
    <w:rsid w:val="008E774A"/>
    <w:rsid w:val="008F34D2"/>
    <w:rsid w:val="008F5C36"/>
    <w:rsid w:val="008F7CF0"/>
    <w:rsid w:val="008F7FB5"/>
    <w:rsid w:val="0090127D"/>
    <w:rsid w:val="0090167E"/>
    <w:rsid w:val="0090176F"/>
    <w:rsid w:val="00904C8F"/>
    <w:rsid w:val="00906A75"/>
    <w:rsid w:val="00906CB8"/>
    <w:rsid w:val="00912F39"/>
    <w:rsid w:val="00924578"/>
    <w:rsid w:val="00924722"/>
    <w:rsid w:val="009257A9"/>
    <w:rsid w:val="00927E79"/>
    <w:rsid w:val="00930063"/>
    <w:rsid w:val="00930D0B"/>
    <w:rsid w:val="00933253"/>
    <w:rsid w:val="00934208"/>
    <w:rsid w:val="00934AEC"/>
    <w:rsid w:val="009358B8"/>
    <w:rsid w:val="009409E7"/>
    <w:rsid w:val="0094364A"/>
    <w:rsid w:val="009503E2"/>
    <w:rsid w:val="00953280"/>
    <w:rsid w:val="00954D33"/>
    <w:rsid w:val="009555BB"/>
    <w:rsid w:val="00956420"/>
    <w:rsid w:val="009571A6"/>
    <w:rsid w:val="0096155B"/>
    <w:rsid w:val="0096648B"/>
    <w:rsid w:val="00970389"/>
    <w:rsid w:val="009703D0"/>
    <w:rsid w:val="0097084D"/>
    <w:rsid w:val="009727A6"/>
    <w:rsid w:val="009733EF"/>
    <w:rsid w:val="00974EF5"/>
    <w:rsid w:val="00977658"/>
    <w:rsid w:val="00990329"/>
    <w:rsid w:val="009944E7"/>
    <w:rsid w:val="00996525"/>
    <w:rsid w:val="009A31F5"/>
    <w:rsid w:val="009A353F"/>
    <w:rsid w:val="009A373F"/>
    <w:rsid w:val="009A6510"/>
    <w:rsid w:val="009B176D"/>
    <w:rsid w:val="009B3BE2"/>
    <w:rsid w:val="009B53A9"/>
    <w:rsid w:val="009B5778"/>
    <w:rsid w:val="009C035D"/>
    <w:rsid w:val="009C2C5D"/>
    <w:rsid w:val="009C3695"/>
    <w:rsid w:val="009C46C8"/>
    <w:rsid w:val="009C4F68"/>
    <w:rsid w:val="009C58D5"/>
    <w:rsid w:val="009D06F9"/>
    <w:rsid w:val="009D41F3"/>
    <w:rsid w:val="009D7C1B"/>
    <w:rsid w:val="009E13AE"/>
    <w:rsid w:val="009E6E50"/>
    <w:rsid w:val="009E7F64"/>
    <w:rsid w:val="009F095A"/>
    <w:rsid w:val="009F167E"/>
    <w:rsid w:val="009F2F7D"/>
    <w:rsid w:val="009F45F0"/>
    <w:rsid w:val="009F495F"/>
    <w:rsid w:val="009F78A3"/>
    <w:rsid w:val="00A02C03"/>
    <w:rsid w:val="00A02DCE"/>
    <w:rsid w:val="00A04F6A"/>
    <w:rsid w:val="00A06830"/>
    <w:rsid w:val="00A06DF1"/>
    <w:rsid w:val="00A14EBE"/>
    <w:rsid w:val="00A175C5"/>
    <w:rsid w:val="00A2112E"/>
    <w:rsid w:val="00A2292C"/>
    <w:rsid w:val="00A264CA"/>
    <w:rsid w:val="00A32ECA"/>
    <w:rsid w:val="00A35B80"/>
    <w:rsid w:val="00A40F8D"/>
    <w:rsid w:val="00A4133F"/>
    <w:rsid w:val="00A45084"/>
    <w:rsid w:val="00A45289"/>
    <w:rsid w:val="00A4672E"/>
    <w:rsid w:val="00A50A01"/>
    <w:rsid w:val="00A53269"/>
    <w:rsid w:val="00A532BC"/>
    <w:rsid w:val="00A532DA"/>
    <w:rsid w:val="00A534D8"/>
    <w:rsid w:val="00A603F5"/>
    <w:rsid w:val="00A60CEF"/>
    <w:rsid w:val="00A61CD4"/>
    <w:rsid w:val="00A61D62"/>
    <w:rsid w:val="00A62CD7"/>
    <w:rsid w:val="00A6617D"/>
    <w:rsid w:val="00A661AC"/>
    <w:rsid w:val="00A6764D"/>
    <w:rsid w:val="00A67F48"/>
    <w:rsid w:val="00A702B9"/>
    <w:rsid w:val="00A714E1"/>
    <w:rsid w:val="00A7180F"/>
    <w:rsid w:val="00A719A2"/>
    <w:rsid w:val="00A7432C"/>
    <w:rsid w:val="00A837DC"/>
    <w:rsid w:val="00A83BEE"/>
    <w:rsid w:val="00A845AF"/>
    <w:rsid w:val="00A853F5"/>
    <w:rsid w:val="00A85E52"/>
    <w:rsid w:val="00A92CE8"/>
    <w:rsid w:val="00A932AF"/>
    <w:rsid w:val="00A9381C"/>
    <w:rsid w:val="00A94006"/>
    <w:rsid w:val="00A96BD2"/>
    <w:rsid w:val="00AA09AB"/>
    <w:rsid w:val="00AB394F"/>
    <w:rsid w:val="00AB39CA"/>
    <w:rsid w:val="00AB5630"/>
    <w:rsid w:val="00AB73FC"/>
    <w:rsid w:val="00AC0FEB"/>
    <w:rsid w:val="00AC501A"/>
    <w:rsid w:val="00AC5E7C"/>
    <w:rsid w:val="00AD256F"/>
    <w:rsid w:val="00AD28CE"/>
    <w:rsid w:val="00AD2AB1"/>
    <w:rsid w:val="00AD4EB7"/>
    <w:rsid w:val="00AD5835"/>
    <w:rsid w:val="00AD6F75"/>
    <w:rsid w:val="00AE2194"/>
    <w:rsid w:val="00AE4568"/>
    <w:rsid w:val="00AE4B91"/>
    <w:rsid w:val="00AE5411"/>
    <w:rsid w:val="00AE75D1"/>
    <w:rsid w:val="00AF7B68"/>
    <w:rsid w:val="00B015E6"/>
    <w:rsid w:val="00B019BD"/>
    <w:rsid w:val="00B031DA"/>
    <w:rsid w:val="00B046CA"/>
    <w:rsid w:val="00B05018"/>
    <w:rsid w:val="00B06434"/>
    <w:rsid w:val="00B0663F"/>
    <w:rsid w:val="00B06A73"/>
    <w:rsid w:val="00B071AD"/>
    <w:rsid w:val="00B07356"/>
    <w:rsid w:val="00B11970"/>
    <w:rsid w:val="00B11DEA"/>
    <w:rsid w:val="00B126B8"/>
    <w:rsid w:val="00B216AD"/>
    <w:rsid w:val="00B22A83"/>
    <w:rsid w:val="00B23225"/>
    <w:rsid w:val="00B240C1"/>
    <w:rsid w:val="00B31653"/>
    <w:rsid w:val="00B31EE2"/>
    <w:rsid w:val="00B3623D"/>
    <w:rsid w:val="00B40899"/>
    <w:rsid w:val="00B450E2"/>
    <w:rsid w:val="00B461BC"/>
    <w:rsid w:val="00B5093A"/>
    <w:rsid w:val="00B5134B"/>
    <w:rsid w:val="00B562F1"/>
    <w:rsid w:val="00B569BF"/>
    <w:rsid w:val="00B575AA"/>
    <w:rsid w:val="00B6118E"/>
    <w:rsid w:val="00B64A42"/>
    <w:rsid w:val="00B64BEA"/>
    <w:rsid w:val="00B66385"/>
    <w:rsid w:val="00B710F1"/>
    <w:rsid w:val="00B733F9"/>
    <w:rsid w:val="00B734C7"/>
    <w:rsid w:val="00B83058"/>
    <w:rsid w:val="00B8416F"/>
    <w:rsid w:val="00B84BF8"/>
    <w:rsid w:val="00B86B02"/>
    <w:rsid w:val="00B874F9"/>
    <w:rsid w:val="00B90692"/>
    <w:rsid w:val="00B9138C"/>
    <w:rsid w:val="00B9264F"/>
    <w:rsid w:val="00B92FA6"/>
    <w:rsid w:val="00B9713F"/>
    <w:rsid w:val="00B978A1"/>
    <w:rsid w:val="00BA023F"/>
    <w:rsid w:val="00BA1141"/>
    <w:rsid w:val="00BB1DAC"/>
    <w:rsid w:val="00BB5B3E"/>
    <w:rsid w:val="00BC0510"/>
    <w:rsid w:val="00BC333E"/>
    <w:rsid w:val="00BC3BF1"/>
    <w:rsid w:val="00BC4546"/>
    <w:rsid w:val="00BC4E97"/>
    <w:rsid w:val="00BD0D10"/>
    <w:rsid w:val="00BD17A8"/>
    <w:rsid w:val="00BD5272"/>
    <w:rsid w:val="00BD5E2B"/>
    <w:rsid w:val="00BD6FAD"/>
    <w:rsid w:val="00BF08B1"/>
    <w:rsid w:val="00C01019"/>
    <w:rsid w:val="00C024AC"/>
    <w:rsid w:val="00C0460F"/>
    <w:rsid w:val="00C05A94"/>
    <w:rsid w:val="00C06756"/>
    <w:rsid w:val="00C07552"/>
    <w:rsid w:val="00C07B4E"/>
    <w:rsid w:val="00C10698"/>
    <w:rsid w:val="00C111F0"/>
    <w:rsid w:val="00C113BB"/>
    <w:rsid w:val="00C11751"/>
    <w:rsid w:val="00C13C8A"/>
    <w:rsid w:val="00C14FD8"/>
    <w:rsid w:val="00C20DAC"/>
    <w:rsid w:val="00C25A3C"/>
    <w:rsid w:val="00C25F9B"/>
    <w:rsid w:val="00C310E0"/>
    <w:rsid w:val="00C31A09"/>
    <w:rsid w:val="00C32BF3"/>
    <w:rsid w:val="00C3370D"/>
    <w:rsid w:val="00C36C01"/>
    <w:rsid w:val="00C37250"/>
    <w:rsid w:val="00C41D35"/>
    <w:rsid w:val="00C46127"/>
    <w:rsid w:val="00C46275"/>
    <w:rsid w:val="00C46370"/>
    <w:rsid w:val="00C4666D"/>
    <w:rsid w:val="00C4719D"/>
    <w:rsid w:val="00C51C7A"/>
    <w:rsid w:val="00C53638"/>
    <w:rsid w:val="00C5455E"/>
    <w:rsid w:val="00C56525"/>
    <w:rsid w:val="00C57D04"/>
    <w:rsid w:val="00C612AE"/>
    <w:rsid w:val="00C653BD"/>
    <w:rsid w:val="00C65D9C"/>
    <w:rsid w:val="00C66CDF"/>
    <w:rsid w:val="00C71547"/>
    <w:rsid w:val="00C72BA2"/>
    <w:rsid w:val="00C740F8"/>
    <w:rsid w:val="00C748B6"/>
    <w:rsid w:val="00C759C8"/>
    <w:rsid w:val="00C75C8B"/>
    <w:rsid w:val="00C77CC6"/>
    <w:rsid w:val="00C80D41"/>
    <w:rsid w:val="00C81DE6"/>
    <w:rsid w:val="00C82611"/>
    <w:rsid w:val="00C84277"/>
    <w:rsid w:val="00C87BBD"/>
    <w:rsid w:val="00C92931"/>
    <w:rsid w:val="00CA2597"/>
    <w:rsid w:val="00CA27F4"/>
    <w:rsid w:val="00CA2D2C"/>
    <w:rsid w:val="00CA312F"/>
    <w:rsid w:val="00CA55B4"/>
    <w:rsid w:val="00CA66F5"/>
    <w:rsid w:val="00CA708E"/>
    <w:rsid w:val="00CA7236"/>
    <w:rsid w:val="00CA7DA2"/>
    <w:rsid w:val="00CB0EC1"/>
    <w:rsid w:val="00CB75FE"/>
    <w:rsid w:val="00CB785E"/>
    <w:rsid w:val="00CC4B01"/>
    <w:rsid w:val="00CC759F"/>
    <w:rsid w:val="00CC7BE0"/>
    <w:rsid w:val="00CD6608"/>
    <w:rsid w:val="00CE1E6E"/>
    <w:rsid w:val="00CE2E4C"/>
    <w:rsid w:val="00CE33A9"/>
    <w:rsid w:val="00CE57D0"/>
    <w:rsid w:val="00CF0521"/>
    <w:rsid w:val="00CF38A3"/>
    <w:rsid w:val="00CF66CD"/>
    <w:rsid w:val="00D01E98"/>
    <w:rsid w:val="00D027FD"/>
    <w:rsid w:val="00D042B2"/>
    <w:rsid w:val="00D046B0"/>
    <w:rsid w:val="00D11039"/>
    <w:rsid w:val="00D12BF5"/>
    <w:rsid w:val="00D1390B"/>
    <w:rsid w:val="00D13F66"/>
    <w:rsid w:val="00D1623B"/>
    <w:rsid w:val="00D200B9"/>
    <w:rsid w:val="00D20CC2"/>
    <w:rsid w:val="00D22F12"/>
    <w:rsid w:val="00D24F7A"/>
    <w:rsid w:val="00D25B7D"/>
    <w:rsid w:val="00D267FD"/>
    <w:rsid w:val="00D356DD"/>
    <w:rsid w:val="00D373AE"/>
    <w:rsid w:val="00D417E1"/>
    <w:rsid w:val="00D41C40"/>
    <w:rsid w:val="00D41E92"/>
    <w:rsid w:val="00D424AB"/>
    <w:rsid w:val="00D433CE"/>
    <w:rsid w:val="00D437B6"/>
    <w:rsid w:val="00D4428C"/>
    <w:rsid w:val="00D45E3B"/>
    <w:rsid w:val="00D45E84"/>
    <w:rsid w:val="00D556AF"/>
    <w:rsid w:val="00D55B95"/>
    <w:rsid w:val="00D5656F"/>
    <w:rsid w:val="00D56B47"/>
    <w:rsid w:val="00D571C7"/>
    <w:rsid w:val="00D61D7F"/>
    <w:rsid w:val="00D61FC9"/>
    <w:rsid w:val="00D702D0"/>
    <w:rsid w:val="00D73451"/>
    <w:rsid w:val="00D75DDD"/>
    <w:rsid w:val="00D7782F"/>
    <w:rsid w:val="00D82A41"/>
    <w:rsid w:val="00D82F52"/>
    <w:rsid w:val="00D83306"/>
    <w:rsid w:val="00D83E77"/>
    <w:rsid w:val="00D91B5C"/>
    <w:rsid w:val="00D95CFB"/>
    <w:rsid w:val="00D9725F"/>
    <w:rsid w:val="00DA2E6F"/>
    <w:rsid w:val="00DA7FB1"/>
    <w:rsid w:val="00DB1F3D"/>
    <w:rsid w:val="00DB2BFE"/>
    <w:rsid w:val="00DB5BAB"/>
    <w:rsid w:val="00DB60BF"/>
    <w:rsid w:val="00DB62AD"/>
    <w:rsid w:val="00DB68F0"/>
    <w:rsid w:val="00DB7606"/>
    <w:rsid w:val="00DC0063"/>
    <w:rsid w:val="00DC5A10"/>
    <w:rsid w:val="00DC6C97"/>
    <w:rsid w:val="00DC7FEC"/>
    <w:rsid w:val="00DD070B"/>
    <w:rsid w:val="00DD0879"/>
    <w:rsid w:val="00DD0FC2"/>
    <w:rsid w:val="00DD3174"/>
    <w:rsid w:val="00DD3F9E"/>
    <w:rsid w:val="00DD6570"/>
    <w:rsid w:val="00DD6A81"/>
    <w:rsid w:val="00DE2FF2"/>
    <w:rsid w:val="00DE4835"/>
    <w:rsid w:val="00DE5596"/>
    <w:rsid w:val="00DE5F69"/>
    <w:rsid w:val="00DE72A5"/>
    <w:rsid w:val="00DF1F57"/>
    <w:rsid w:val="00DF368A"/>
    <w:rsid w:val="00E005F8"/>
    <w:rsid w:val="00E01D43"/>
    <w:rsid w:val="00E0456B"/>
    <w:rsid w:val="00E0569C"/>
    <w:rsid w:val="00E12A68"/>
    <w:rsid w:val="00E13450"/>
    <w:rsid w:val="00E139ED"/>
    <w:rsid w:val="00E13BD5"/>
    <w:rsid w:val="00E151BC"/>
    <w:rsid w:val="00E1546E"/>
    <w:rsid w:val="00E22121"/>
    <w:rsid w:val="00E31334"/>
    <w:rsid w:val="00E34CB1"/>
    <w:rsid w:val="00E35881"/>
    <w:rsid w:val="00E35FC5"/>
    <w:rsid w:val="00E401B9"/>
    <w:rsid w:val="00E42672"/>
    <w:rsid w:val="00E44CE7"/>
    <w:rsid w:val="00E52BB0"/>
    <w:rsid w:val="00E577F4"/>
    <w:rsid w:val="00E60379"/>
    <w:rsid w:val="00E61C9E"/>
    <w:rsid w:val="00E651A8"/>
    <w:rsid w:val="00E70350"/>
    <w:rsid w:val="00E73101"/>
    <w:rsid w:val="00E76525"/>
    <w:rsid w:val="00E76D46"/>
    <w:rsid w:val="00E82932"/>
    <w:rsid w:val="00E90A51"/>
    <w:rsid w:val="00E923B9"/>
    <w:rsid w:val="00E964EE"/>
    <w:rsid w:val="00EA0AAB"/>
    <w:rsid w:val="00EA1B1C"/>
    <w:rsid w:val="00EA27E8"/>
    <w:rsid w:val="00EA4BB3"/>
    <w:rsid w:val="00EA7BA9"/>
    <w:rsid w:val="00EA7BDD"/>
    <w:rsid w:val="00EB060C"/>
    <w:rsid w:val="00EB0B85"/>
    <w:rsid w:val="00EB3DCC"/>
    <w:rsid w:val="00EB4618"/>
    <w:rsid w:val="00EB6EC0"/>
    <w:rsid w:val="00EC36AB"/>
    <w:rsid w:val="00EC7500"/>
    <w:rsid w:val="00EC7A2F"/>
    <w:rsid w:val="00ED1434"/>
    <w:rsid w:val="00ED2F15"/>
    <w:rsid w:val="00ED3342"/>
    <w:rsid w:val="00ED5C54"/>
    <w:rsid w:val="00ED6266"/>
    <w:rsid w:val="00EE0ED9"/>
    <w:rsid w:val="00EE24A3"/>
    <w:rsid w:val="00EE2CAC"/>
    <w:rsid w:val="00EE53CB"/>
    <w:rsid w:val="00EE6223"/>
    <w:rsid w:val="00EF0415"/>
    <w:rsid w:val="00EF079B"/>
    <w:rsid w:val="00EF5260"/>
    <w:rsid w:val="00EF54AA"/>
    <w:rsid w:val="00EF7D07"/>
    <w:rsid w:val="00F00D18"/>
    <w:rsid w:val="00F015DC"/>
    <w:rsid w:val="00F1130B"/>
    <w:rsid w:val="00F123C7"/>
    <w:rsid w:val="00F17E4B"/>
    <w:rsid w:val="00F17E9E"/>
    <w:rsid w:val="00F21368"/>
    <w:rsid w:val="00F25CBF"/>
    <w:rsid w:val="00F26238"/>
    <w:rsid w:val="00F268A1"/>
    <w:rsid w:val="00F332B9"/>
    <w:rsid w:val="00F335B6"/>
    <w:rsid w:val="00F3506F"/>
    <w:rsid w:val="00F36429"/>
    <w:rsid w:val="00F36ED0"/>
    <w:rsid w:val="00F376DF"/>
    <w:rsid w:val="00F4357A"/>
    <w:rsid w:val="00F439C2"/>
    <w:rsid w:val="00F44886"/>
    <w:rsid w:val="00F51003"/>
    <w:rsid w:val="00F52802"/>
    <w:rsid w:val="00F53468"/>
    <w:rsid w:val="00F53CAB"/>
    <w:rsid w:val="00F54333"/>
    <w:rsid w:val="00F56717"/>
    <w:rsid w:val="00F60E6D"/>
    <w:rsid w:val="00F6411E"/>
    <w:rsid w:val="00F65037"/>
    <w:rsid w:val="00F65D19"/>
    <w:rsid w:val="00F70354"/>
    <w:rsid w:val="00F7035C"/>
    <w:rsid w:val="00F70902"/>
    <w:rsid w:val="00F72FA6"/>
    <w:rsid w:val="00F7431A"/>
    <w:rsid w:val="00F74BB8"/>
    <w:rsid w:val="00F75976"/>
    <w:rsid w:val="00F75B58"/>
    <w:rsid w:val="00F806B2"/>
    <w:rsid w:val="00F853E3"/>
    <w:rsid w:val="00F87C81"/>
    <w:rsid w:val="00F905D3"/>
    <w:rsid w:val="00F91925"/>
    <w:rsid w:val="00F9671F"/>
    <w:rsid w:val="00F972A6"/>
    <w:rsid w:val="00FA1BFC"/>
    <w:rsid w:val="00FA556B"/>
    <w:rsid w:val="00FA5DC2"/>
    <w:rsid w:val="00FA6174"/>
    <w:rsid w:val="00FA7CA1"/>
    <w:rsid w:val="00FB43DA"/>
    <w:rsid w:val="00FB6F2E"/>
    <w:rsid w:val="00FC347A"/>
    <w:rsid w:val="00FC60A7"/>
    <w:rsid w:val="00FD2B90"/>
    <w:rsid w:val="00FD5312"/>
    <w:rsid w:val="00FD5AC8"/>
    <w:rsid w:val="00FE0308"/>
    <w:rsid w:val="00FE125A"/>
    <w:rsid w:val="00FE42EC"/>
    <w:rsid w:val="00FE717B"/>
    <w:rsid w:val="00FE7573"/>
    <w:rsid w:val="00FF3F6F"/>
    <w:rsid w:val="00FF4686"/>
    <w:rsid w:val="00FF5F3D"/>
    <w:rsid w:val="00FF77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Classic 1" w:uiPriority="0"/>
    <w:lsdException w:name="Table Classic 2" w:uiPriority="0"/>
    <w:lsdException w:name="Table Grid 1" w:uiPriority="0"/>
    <w:lsdException w:name="Table Grid 7"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1D"/>
  </w:style>
  <w:style w:type="paragraph" w:styleId="Heading1">
    <w:name w:val="heading 1"/>
    <w:basedOn w:val="Normal"/>
    <w:next w:val="Normal"/>
    <w:link w:val="Heading1Char"/>
    <w:uiPriority w:val="9"/>
    <w:qFormat/>
    <w:rsid w:val="00F90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55B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CA55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55B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5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A55B4"/>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CA55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A55B4"/>
    <w:rPr>
      <w:rFonts w:ascii="Times New Roman" w:eastAsia="Times New Roman" w:hAnsi="Times New Roman" w:cs="Times New Roman"/>
      <w:b/>
      <w:bCs/>
      <w:sz w:val="28"/>
      <w:szCs w:val="28"/>
    </w:rPr>
  </w:style>
  <w:style w:type="paragraph" w:styleId="FootnoteText">
    <w:name w:val="footnote text"/>
    <w:aliases w:val="Char"/>
    <w:basedOn w:val="Normal"/>
    <w:link w:val="FootnoteTextChar"/>
    <w:uiPriority w:val="99"/>
    <w:semiHidden/>
    <w:rsid w:val="00F905D3"/>
    <w:pPr>
      <w:spacing w:after="120" w:line="240" w:lineRule="auto"/>
    </w:pPr>
    <w:rPr>
      <w:rFonts w:ascii="Arial" w:eastAsia="SimSun" w:hAnsi="Arial" w:cs="Times New Roman"/>
      <w:sz w:val="20"/>
      <w:szCs w:val="20"/>
      <w:lang w:val="fr-BE" w:eastAsia="en-GB"/>
    </w:rPr>
  </w:style>
  <w:style w:type="character" w:customStyle="1" w:styleId="FootnoteTextChar">
    <w:name w:val="Footnote Text Char"/>
    <w:aliases w:val="Char Char"/>
    <w:basedOn w:val="DefaultParagraphFont"/>
    <w:link w:val="FootnoteText"/>
    <w:uiPriority w:val="99"/>
    <w:semiHidden/>
    <w:rsid w:val="00F905D3"/>
    <w:rPr>
      <w:rFonts w:ascii="Arial" w:eastAsia="SimSun" w:hAnsi="Arial" w:cs="Times New Roman"/>
      <w:sz w:val="20"/>
      <w:szCs w:val="20"/>
      <w:lang w:val="fr-BE" w:eastAsia="en-GB"/>
    </w:rPr>
  </w:style>
  <w:style w:type="character" w:styleId="FootnoteReference">
    <w:name w:val="footnote reference"/>
    <w:basedOn w:val="DefaultParagraphFont"/>
    <w:uiPriority w:val="99"/>
    <w:semiHidden/>
    <w:rsid w:val="00F905D3"/>
    <w:rPr>
      <w:rFonts w:cs="Times New Roman"/>
      <w:vertAlign w:val="superscript"/>
    </w:rPr>
  </w:style>
  <w:style w:type="paragraph" w:customStyle="1" w:styleId="level1">
    <w:name w:val="_level1"/>
    <w:basedOn w:val="Normal"/>
    <w:rsid w:val="00F905D3"/>
    <w:rPr>
      <w:rFonts w:ascii="Times New Roman" w:eastAsia="Times New Roman" w:hAnsi="Times New Roman" w:cs="Times New Roman"/>
      <w:sz w:val="24"/>
      <w:szCs w:val="24"/>
    </w:rPr>
  </w:style>
  <w:style w:type="paragraph" w:styleId="ListParagraph">
    <w:name w:val="List Paragraph"/>
    <w:basedOn w:val="Normal"/>
    <w:uiPriority w:val="34"/>
    <w:qFormat/>
    <w:rsid w:val="00F51003"/>
    <w:pPr>
      <w:spacing w:after="0"/>
      <w:ind w:left="720"/>
      <w:contextualSpacing/>
    </w:pPr>
    <w:rPr>
      <w:rFonts w:ascii="Calibri" w:eastAsia="SimSun" w:hAnsi="Calibri" w:cs="Times New Roman"/>
      <w:lang w:val="nl-NL" w:eastAsia="zh-CN"/>
    </w:rPr>
  </w:style>
  <w:style w:type="paragraph" w:styleId="BalloonText">
    <w:name w:val="Balloon Text"/>
    <w:basedOn w:val="Normal"/>
    <w:link w:val="BalloonTextChar"/>
    <w:unhideWhenUsed/>
    <w:rsid w:val="00A8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37DC"/>
    <w:rPr>
      <w:rFonts w:ascii="Tahoma" w:hAnsi="Tahoma" w:cs="Tahoma"/>
      <w:sz w:val="16"/>
      <w:szCs w:val="16"/>
    </w:rPr>
  </w:style>
  <w:style w:type="paragraph" w:styleId="NoSpacing">
    <w:name w:val="No Spacing"/>
    <w:link w:val="NoSpacingChar"/>
    <w:uiPriority w:val="1"/>
    <w:qFormat/>
    <w:rsid w:val="00CF0521"/>
    <w:pPr>
      <w:spacing w:after="0" w:line="240" w:lineRule="auto"/>
    </w:pPr>
    <w:rPr>
      <w:rFonts w:eastAsiaTheme="minorEastAsia"/>
    </w:rPr>
  </w:style>
  <w:style w:type="character" w:customStyle="1" w:styleId="NoSpacingChar">
    <w:name w:val="No Spacing Char"/>
    <w:basedOn w:val="DefaultParagraphFont"/>
    <w:link w:val="NoSpacing"/>
    <w:uiPriority w:val="1"/>
    <w:rsid w:val="00CF0521"/>
    <w:rPr>
      <w:rFonts w:eastAsiaTheme="minorEastAsia"/>
    </w:rPr>
  </w:style>
  <w:style w:type="table" w:styleId="TableGrid">
    <w:name w:val="Table Grid"/>
    <w:basedOn w:val="TableNormal"/>
    <w:uiPriority w:val="59"/>
    <w:rsid w:val="003C1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2B51"/>
    <w:pPr>
      <w:spacing w:after="240" w:line="240" w:lineRule="atLeast"/>
    </w:pPr>
    <w:rPr>
      <w:rFonts w:ascii="Arial" w:eastAsia="Times New Roman" w:hAnsi="Arial" w:cs="Arial"/>
      <w:sz w:val="24"/>
      <w:szCs w:val="24"/>
      <w:lang w:val="en-GB" w:eastAsia="en-GB"/>
    </w:rPr>
  </w:style>
  <w:style w:type="character" w:styleId="Emphasis">
    <w:name w:val="Emphasis"/>
    <w:basedOn w:val="DefaultParagraphFont"/>
    <w:uiPriority w:val="20"/>
    <w:qFormat/>
    <w:rsid w:val="007C2B51"/>
    <w:rPr>
      <w:i/>
      <w:iCs/>
    </w:rPr>
  </w:style>
  <w:style w:type="paragraph" w:styleId="BodyText">
    <w:name w:val="Body Text"/>
    <w:basedOn w:val="Normal"/>
    <w:link w:val="BodyTextChar"/>
    <w:rsid w:val="00B734C7"/>
    <w:pPr>
      <w:spacing w:before="120"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34C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D30F9"/>
    <w:rPr>
      <w:strike w:val="0"/>
      <w:dstrike w:val="0"/>
      <w:color w:val="02529B"/>
      <w:u w:val="none"/>
      <w:effect w:val="none"/>
    </w:rPr>
  </w:style>
  <w:style w:type="character" w:customStyle="1" w:styleId="googqs-tidbit-0">
    <w:name w:val="goog_qs-tidbit-0"/>
    <w:basedOn w:val="DefaultParagraphFont"/>
    <w:rsid w:val="001D30F9"/>
  </w:style>
  <w:style w:type="paragraph" w:styleId="Header">
    <w:name w:val="header"/>
    <w:basedOn w:val="Normal"/>
    <w:link w:val="HeaderChar"/>
    <w:unhideWhenUsed/>
    <w:rsid w:val="00465B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B20"/>
  </w:style>
  <w:style w:type="paragraph" w:styleId="Footer">
    <w:name w:val="footer"/>
    <w:basedOn w:val="Normal"/>
    <w:link w:val="FooterChar"/>
    <w:uiPriority w:val="99"/>
    <w:unhideWhenUsed/>
    <w:rsid w:val="0046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20"/>
  </w:style>
  <w:style w:type="table" w:styleId="MediumList2-Accent1">
    <w:name w:val="Medium List 2 Accent 1"/>
    <w:basedOn w:val="TableNormal"/>
    <w:uiPriority w:val="66"/>
    <w:rsid w:val="00F439C2"/>
    <w:pPr>
      <w:spacing w:after="0" w:line="240" w:lineRule="auto"/>
    </w:pPr>
    <w:rPr>
      <w:rFonts w:asciiTheme="majorHAnsi" w:eastAsiaTheme="majorEastAsia" w:hAnsiTheme="majorHAnsi" w:cstheme="majorBidi"/>
      <w:color w:val="000000" w:themeColor="text1"/>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2">
    <w:name w:val="Body Text 2"/>
    <w:basedOn w:val="Normal"/>
    <w:link w:val="BodyText2Char"/>
    <w:uiPriority w:val="99"/>
    <w:unhideWhenUsed/>
    <w:rsid w:val="00427396"/>
    <w:pPr>
      <w:spacing w:after="120" w:line="480" w:lineRule="auto"/>
    </w:pPr>
  </w:style>
  <w:style w:type="character" w:customStyle="1" w:styleId="BodyText2Char">
    <w:name w:val="Body Text 2 Char"/>
    <w:basedOn w:val="DefaultParagraphFont"/>
    <w:link w:val="BodyText2"/>
    <w:uiPriority w:val="99"/>
    <w:rsid w:val="00427396"/>
  </w:style>
  <w:style w:type="paragraph" w:styleId="Caption">
    <w:name w:val="caption"/>
    <w:basedOn w:val="Normal"/>
    <w:next w:val="Normal"/>
    <w:qFormat/>
    <w:rsid w:val="009D06F9"/>
    <w:pPr>
      <w:spacing w:after="0" w:line="240" w:lineRule="auto"/>
    </w:pPr>
    <w:rPr>
      <w:rFonts w:ascii="Times New Roman" w:eastAsia="Times New Roman" w:hAnsi="Times New Roman" w:cs="Times New Roman"/>
      <w:b/>
      <w:bCs/>
      <w:sz w:val="20"/>
      <w:szCs w:val="20"/>
    </w:rPr>
  </w:style>
  <w:style w:type="character" w:styleId="PageNumber">
    <w:name w:val="page number"/>
    <w:basedOn w:val="DefaultParagraphFont"/>
    <w:rsid w:val="00CA55B4"/>
  </w:style>
  <w:style w:type="paragraph" w:styleId="TOC1">
    <w:name w:val="toc 1"/>
    <w:basedOn w:val="Normal"/>
    <w:next w:val="Normal"/>
    <w:autoRedefine/>
    <w:uiPriority w:val="39"/>
    <w:rsid w:val="00CA55B4"/>
    <w:pPr>
      <w:tabs>
        <w:tab w:val="right" w:leader="dot" w:pos="8630"/>
      </w:tabs>
      <w:spacing w:after="0" w:line="240" w:lineRule="auto"/>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CA55B4"/>
    <w:pPr>
      <w:tabs>
        <w:tab w:val="right" w:leader="dot" w:pos="8630"/>
      </w:tabs>
      <w:spacing w:after="0" w:line="240" w:lineRule="auto"/>
      <w:ind w:left="240"/>
    </w:pPr>
    <w:rPr>
      <w:rFonts w:ascii="Times New Roman" w:eastAsia="Times New Roman" w:hAnsi="Times New Roman" w:cs="Times New Roman"/>
      <w:b/>
      <w:noProof/>
      <w:sz w:val="24"/>
      <w:szCs w:val="24"/>
      <w:lang w:val="cy-GB"/>
    </w:rPr>
  </w:style>
  <w:style w:type="paragraph" w:styleId="TOC3">
    <w:name w:val="toc 3"/>
    <w:basedOn w:val="Normal"/>
    <w:next w:val="Normal"/>
    <w:autoRedefine/>
    <w:uiPriority w:val="39"/>
    <w:rsid w:val="00CA55B4"/>
    <w:pPr>
      <w:spacing w:after="0" w:line="240" w:lineRule="auto"/>
      <w:ind w:left="480"/>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CA55B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328017">
      <w:bodyDiv w:val="1"/>
      <w:marLeft w:val="0"/>
      <w:marRight w:val="0"/>
      <w:marTop w:val="0"/>
      <w:marBottom w:val="0"/>
      <w:divBdr>
        <w:top w:val="none" w:sz="0" w:space="0" w:color="auto"/>
        <w:left w:val="none" w:sz="0" w:space="0" w:color="auto"/>
        <w:bottom w:val="none" w:sz="0" w:space="0" w:color="auto"/>
        <w:right w:val="none" w:sz="0" w:space="0" w:color="auto"/>
      </w:divBdr>
      <w:divsChild>
        <w:div w:id="860165846">
          <w:marLeft w:val="0"/>
          <w:marRight w:val="0"/>
          <w:marTop w:val="0"/>
          <w:marBottom w:val="0"/>
          <w:divBdr>
            <w:top w:val="none" w:sz="0" w:space="0" w:color="auto"/>
            <w:left w:val="none" w:sz="0" w:space="0" w:color="auto"/>
            <w:bottom w:val="none" w:sz="0" w:space="0" w:color="auto"/>
            <w:right w:val="none" w:sz="0" w:space="0" w:color="auto"/>
          </w:divBdr>
          <w:divsChild>
            <w:div w:id="1166900387">
              <w:marLeft w:val="0"/>
              <w:marRight w:val="0"/>
              <w:marTop w:val="0"/>
              <w:marBottom w:val="0"/>
              <w:divBdr>
                <w:top w:val="none" w:sz="0" w:space="0" w:color="auto"/>
                <w:left w:val="none" w:sz="0" w:space="0" w:color="auto"/>
                <w:bottom w:val="none" w:sz="0" w:space="0" w:color="auto"/>
                <w:right w:val="none" w:sz="0" w:space="0" w:color="auto"/>
              </w:divBdr>
              <w:divsChild>
                <w:div w:id="141654363">
                  <w:marLeft w:val="0"/>
                  <w:marRight w:val="0"/>
                  <w:marTop w:val="0"/>
                  <w:marBottom w:val="0"/>
                  <w:divBdr>
                    <w:top w:val="none" w:sz="0" w:space="0" w:color="auto"/>
                    <w:left w:val="single" w:sz="6" w:space="0" w:color="CCCCCC"/>
                    <w:bottom w:val="single" w:sz="12" w:space="0" w:color="CCCCCC"/>
                    <w:right w:val="single" w:sz="6" w:space="0" w:color="CCCCCC"/>
                  </w:divBdr>
                  <w:divsChild>
                    <w:div w:id="432825858">
                      <w:marLeft w:val="0"/>
                      <w:marRight w:val="0"/>
                      <w:marTop w:val="0"/>
                      <w:marBottom w:val="0"/>
                      <w:divBdr>
                        <w:top w:val="none" w:sz="0" w:space="0" w:color="auto"/>
                        <w:left w:val="none" w:sz="0" w:space="0" w:color="auto"/>
                        <w:bottom w:val="none" w:sz="0" w:space="0" w:color="auto"/>
                        <w:right w:val="none" w:sz="0" w:space="0" w:color="auto"/>
                      </w:divBdr>
                      <w:divsChild>
                        <w:div w:id="1233660972">
                          <w:marLeft w:val="0"/>
                          <w:marRight w:val="0"/>
                          <w:marTop w:val="0"/>
                          <w:marBottom w:val="0"/>
                          <w:divBdr>
                            <w:top w:val="none" w:sz="0" w:space="0" w:color="auto"/>
                            <w:left w:val="none" w:sz="0" w:space="0" w:color="auto"/>
                            <w:bottom w:val="none" w:sz="0" w:space="0" w:color="auto"/>
                            <w:right w:val="none" w:sz="0" w:space="0" w:color="auto"/>
                          </w:divBdr>
                          <w:divsChild>
                            <w:div w:id="1920480348">
                              <w:marLeft w:val="0"/>
                              <w:marRight w:val="0"/>
                              <w:marTop w:val="0"/>
                              <w:marBottom w:val="0"/>
                              <w:divBdr>
                                <w:top w:val="none" w:sz="0" w:space="0" w:color="auto"/>
                                <w:left w:val="none" w:sz="0" w:space="0" w:color="auto"/>
                                <w:bottom w:val="none" w:sz="0" w:space="0" w:color="auto"/>
                                <w:right w:val="none" w:sz="0" w:space="0" w:color="auto"/>
                              </w:divBdr>
                              <w:divsChild>
                                <w:div w:id="1239561116">
                                  <w:marLeft w:val="0"/>
                                  <w:marRight w:val="0"/>
                                  <w:marTop w:val="0"/>
                                  <w:marBottom w:val="0"/>
                                  <w:divBdr>
                                    <w:top w:val="none" w:sz="0" w:space="0" w:color="auto"/>
                                    <w:left w:val="none" w:sz="0" w:space="0" w:color="auto"/>
                                    <w:bottom w:val="none" w:sz="0" w:space="0" w:color="auto"/>
                                    <w:right w:val="none" w:sz="0" w:space="0" w:color="auto"/>
                                  </w:divBdr>
                                  <w:divsChild>
                                    <w:div w:id="1209685043">
                                      <w:marLeft w:val="0"/>
                                      <w:marRight w:val="0"/>
                                      <w:marTop w:val="0"/>
                                      <w:marBottom w:val="0"/>
                                      <w:divBdr>
                                        <w:top w:val="none" w:sz="0" w:space="0" w:color="auto"/>
                                        <w:left w:val="none" w:sz="0" w:space="0" w:color="auto"/>
                                        <w:bottom w:val="none" w:sz="0" w:space="0" w:color="auto"/>
                                        <w:right w:val="none" w:sz="0" w:space="0" w:color="auto"/>
                                      </w:divBdr>
                                      <w:divsChild>
                                        <w:div w:id="415904223">
                                          <w:marLeft w:val="0"/>
                                          <w:marRight w:val="0"/>
                                          <w:marTop w:val="0"/>
                                          <w:marBottom w:val="0"/>
                                          <w:divBdr>
                                            <w:top w:val="none" w:sz="0" w:space="0" w:color="auto"/>
                                            <w:left w:val="none" w:sz="0" w:space="0" w:color="auto"/>
                                            <w:bottom w:val="none" w:sz="0" w:space="0" w:color="auto"/>
                                            <w:right w:val="none" w:sz="0" w:space="0" w:color="auto"/>
                                          </w:divBdr>
                                          <w:divsChild>
                                            <w:div w:id="1837695460">
                                              <w:marLeft w:val="0"/>
                                              <w:marRight w:val="450"/>
                                              <w:marTop w:val="0"/>
                                              <w:marBottom w:val="0"/>
                                              <w:divBdr>
                                                <w:top w:val="none" w:sz="0" w:space="0" w:color="auto"/>
                                                <w:left w:val="none" w:sz="0" w:space="0" w:color="auto"/>
                                                <w:bottom w:val="none" w:sz="0" w:space="0" w:color="auto"/>
                                                <w:right w:val="none" w:sz="0" w:space="0" w:color="auto"/>
                                              </w:divBdr>
                                              <w:divsChild>
                                                <w:div w:id="100615406">
                                                  <w:marLeft w:val="0"/>
                                                  <w:marRight w:val="0"/>
                                                  <w:marTop w:val="0"/>
                                                  <w:marBottom w:val="0"/>
                                                  <w:divBdr>
                                                    <w:top w:val="none" w:sz="0" w:space="0" w:color="auto"/>
                                                    <w:left w:val="none" w:sz="0" w:space="0" w:color="auto"/>
                                                    <w:bottom w:val="none" w:sz="0" w:space="0" w:color="auto"/>
                                                    <w:right w:val="none" w:sz="0" w:space="0" w:color="auto"/>
                                                  </w:divBdr>
                                                  <w:divsChild>
                                                    <w:div w:id="240796296">
                                                      <w:marLeft w:val="0"/>
                                                      <w:marRight w:val="0"/>
                                                      <w:marTop w:val="0"/>
                                                      <w:marBottom w:val="0"/>
                                                      <w:divBdr>
                                                        <w:top w:val="none" w:sz="0" w:space="0" w:color="auto"/>
                                                        <w:left w:val="none" w:sz="0" w:space="0" w:color="auto"/>
                                                        <w:bottom w:val="none" w:sz="0" w:space="0" w:color="auto"/>
                                                        <w:right w:val="none" w:sz="0" w:space="0" w:color="auto"/>
                                                      </w:divBdr>
                                                      <w:divsChild>
                                                        <w:div w:id="660037495">
                                                          <w:marLeft w:val="0"/>
                                                          <w:marRight w:val="0"/>
                                                          <w:marTop w:val="0"/>
                                                          <w:marBottom w:val="0"/>
                                                          <w:divBdr>
                                                            <w:top w:val="none" w:sz="0" w:space="0" w:color="auto"/>
                                                            <w:left w:val="none" w:sz="0" w:space="0" w:color="auto"/>
                                                            <w:bottom w:val="none" w:sz="0" w:space="0" w:color="auto"/>
                                                            <w:right w:val="none" w:sz="0" w:space="0" w:color="auto"/>
                                                          </w:divBdr>
                                                          <w:divsChild>
                                                            <w:div w:id="1158888103">
                                                              <w:marLeft w:val="0"/>
                                                              <w:marRight w:val="0"/>
                                                              <w:marTop w:val="0"/>
                                                              <w:marBottom w:val="0"/>
                                                              <w:divBdr>
                                                                <w:top w:val="none" w:sz="0" w:space="0" w:color="auto"/>
                                                                <w:left w:val="none" w:sz="0" w:space="0" w:color="auto"/>
                                                                <w:bottom w:val="none" w:sz="0" w:space="0" w:color="auto"/>
                                                                <w:right w:val="none" w:sz="0" w:space="0" w:color="auto"/>
                                                              </w:divBdr>
                                                              <w:divsChild>
                                                                <w:div w:id="1273592349">
                                                                  <w:marLeft w:val="0"/>
                                                                  <w:marRight w:val="0"/>
                                                                  <w:marTop w:val="0"/>
                                                                  <w:marBottom w:val="0"/>
                                                                  <w:divBdr>
                                                                    <w:top w:val="none" w:sz="0" w:space="0" w:color="auto"/>
                                                                    <w:left w:val="none" w:sz="0" w:space="0" w:color="auto"/>
                                                                    <w:bottom w:val="none" w:sz="0" w:space="0" w:color="auto"/>
                                                                    <w:right w:val="none" w:sz="0" w:space="0" w:color="auto"/>
                                                                  </w:divBdr>
                                                                  <w:divsChild>
                                                                    <w:div w:id="1279026198">
                                                                      <w:marLeft w:val="0"/>
                                                                      <w:marRight w:val="0"/>
                                                                      <w:marTop w:val="0"/>
                                                                      <w:marBottom w:val="0"/>
                                                                      <w:divBdr>
                                                                        <w:top w:val="none" w:sz="0" w:space="0" w:color="auto"/>
                                                                        <w:left w:val="none" w:sz="0" w:space="0" w:color="auto"/>
                                                                        <w:bottom w:val="none" w:sz="0" w:space="0" w:color="auto"/>
                                                                        <w:right w:val="none" w:sz="0" w:space="0" w:color="auto"/>
                                                                      </w:divBdr>
                                                                      <w:divsChild>
                                                                        <w:div w:id="1893953943">
                                                                          <w:marLeft w:val="0"/>
                                                                          <w:marRight w:val="0"/>
                                                                          <w:marTop w:val="0"/>
                                                                          <w:marBottom w:val="360"/>
                                                                          <w:divBdr>
                                                                            <w:top w:val="none" w:sz="0" w:space="0" w:color="auto"/>
                                                                            <w:left w:val="none" w:sz="0" w:space="0" w:color="auto"/>
                                                                            <w:bottom w:val="none" w:sz="0" w:space="0" w:color="auto"/>
                                                                            <w:right w:val="none" w:sz="0" w:space="0" w:color="auto"/>
                                                                          </w:divBdr>
                                                                          <w:divsChild>
                                                                            <w:div w:id="1117990845">
                                                                              <w:marLeft w:val="0"/>
                                                                              <w:marRight w:val="0"/>
                                                                              <w:marTop w:val="0"/>
                                                                              <w:marBottom w:val="0"/>
                                                                              <w:divBdr>
                                                                                <w:top w:val="none" w:sz="0" w:space="0" w:color="auto"/>
                                                                                <w:left w:val="none" w:sz="0" w:space="0" w:color="auto"/>
                                                                                <w:bottom w:val="none" w:sz="0" w:space="0" w:color="auto"/>
                                                                                <w:right w:val="none" w:sz="0" w:space="0" w:color="auto"/>
                                                                              </w:divBdr>
                                                                              <w:divsChild>
                                                                                <w:div w:id="925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02550">
      <w:bodyDiv w:val="1"/>
      <w:marLeft w:val="0"/>
      <w:marRight w:val="0"/>
      <w:marTop w:val="0"/>
      <w:marBottom w:val="0"/>
      <w:divBdr>
        <w:top w:val="none" w:sz="0" w:space="0" w:color="auto"/>
        <w:left w:val="none" w:sz="0" w:space="0" w:color="auto"/>
        <w:bottom w:val="none" w:sz="0" w:space="0" w:color="auto"/>
        <w:right w:val="none" w:sz="0" w:space="0" w:color="auto"/>
      </w:divBdr>
      <w:divsChild>
        <w:div w:id="1844511606">
          <w:marLeft w:val="0"/>
          <w:marRight w:val="0"/>
          <w:marTop w:val="0"/>
          <w:marBottom w:val="0"/>
          <w:divBdr>
            <w:top w:val="none" w:sz="0" w:space="0" w:color="auto"/>
            <w:left w:val="none" w:sz="0" w:space="0" w:color="auto"/>
            <w:bottom w:val="none" w:sz="0" w:space="0" w:color="auto"/>
            <w:right w:val="none" w:sz="0" w:space="0" w:color="auto"/>
          </w:divBdr>
          <w:divsChild>
            <w:div w:id="831991093">
              <w:marLeft w:val="0"/>
              <w:marRight w:val="0"/>
              <w:marTop w:val="0"/>
              <w:marBottom w:val="0"/>
              <w:divBdr>
                <w:top w:val="none" w:sz="0" w:space="0" w:color="auto"/>
                <w:left w:val="none" w:sz="0" w:space="0" w:color="auto"/>
                <w:bottom w:val="none" w:sz="0" w:space="0" w:color="auto"/>
                <w:right w:val="none" w:sz="0" w:space="0" w:color="auto"/>
              </w:divBdr>
              <w:divsChild>
                <w:div w:id="862280772">
                  <w:marLeft w:val="0"/>
                  <w:marRight w:val="0"/>
                  <w:marTop w:val="0"/>
                  <w:marBottom w:val="0"/>
                  <w:divBdr>
                    <w:top w:val="none" w:sz="0" w:space="0" w:color="auto"/>
                    <w:left w:val="none" w:sz="0" w:space="0" w:color="auto"/>
                    <w:bottom w:val="none" w:sz="0" w:space="0" w:color="auto"/>
                    <w:right w:val="none" w:sz="0" w:space="0" w:color="auto"/>
                  </w:divBdr>
                  <w:divsChild>
                    <w:div w:id="223610485">
                      <w:marLeft w:val="0"/>
                      <w:marRight w:val="0"/>
                      <w:marTop w:val="0"/>
                      <w:marBottom w:val="0"/>
                      <w:divBdr>
                        <w:top w:val="none" w:sz="0" w:space="0" w:color="auto"/>
                        <w:left w:val="none" w:sz="0" w:space="0" w:color="auto"/>
                        <w:bottom w:val="none" w:sz="0" w:space="0" w:color="auto"/>
                        <w:right w:val="none" w:sz="0" w:space="0" w:color="auto"/>
                      </w:divBdr>
                      <w:divsChild>
                        <w:div w:id="499587107">
                          <w:marLeft w:val="0"/>
                          <w:marRight w:val="0"/>
                          <w:marTop w:val="0"/>
                          <w:marBottom w:val="0"/>
                          <w:divBdr>
                            <w:top w:val="none" w:sz="0" w:space="0" w:color="auto"/>
                            <w:left w:val="none" w:sz="0" w:space="0" w:color="auto"/>
                            <w:bottom w:val="none" w:sz="0" w:space="0" w:color="auto"/>
                            <w:right w:val="none" w:sz="0" w:space="0" w:color="auto"/>
                          </w:divBdr>
                          <w:divsChild>
                            <w:div w:id="124738961">
                              <w:marLeft w:val="0"/>
                              <w:marRight w:val="0"/>
                              <w:marTop w:val="0"/>
                              <w:marBottom w:val="0"/>
                              <w:divBdr>
                                <w:top w:val="none" w:sz="0" w:space="0" w:color="auto"/>
                                <w:left w:val="none" w:sz="0" w:space="0" w:color="auto"/>
                                <w:bottom w:val="none" w:sz="0" w:space="0" w:color="auto"/>
                                <w:right w:val="none" w:sz="0" w:space="0" w:color="auto"/>
                              </w:divBdr>
                              <w:divsChild>
                                <w:div w:id="1246649611">
                                  <w:marLeft w:val="0"/>
                                  <w:marRight w:val="0"/>
                                  <w:marTop w:val="0"/>
                                  <w:marBottom w:val="0"/>
                                  <w:divBdr>
                                    <w:top w:val="none" w:sz="0" w:space="0" w:color="auto"/>
                                    <w:left w:val="none" w:sz="0" w:space="0" w:color="auto"/>
                                    <w:bottom w:val="none" w:sz="0" w:space="0" w:color="auto"/>
                                    <w:right w:val="none" w:sz="0" w:space="0" w:color="auto"/>
                                  </w:divBdr>
                                  <w:divsChild>
                                    <w:div w:id="1201406464">
                                      <w:marLeft w:val="0"/>
                                      <w:marRight w:val="0"/>
                                      <w:marTop w:val="0"/>
                                      <w:marBottom w:val="0"/>
                                      <w:divBdr>
                                        <w:top w:val="none" w:sz="0" w:space="0" w:color="auto"/>
                                        <w:left w:val="none" w:sz="0" w:space="0" w:color="auto"/>
                                        <w:bottom w:val="none" w:sz="0" w:space="0" w:color="auto"/>
                                        <w:right w:val="none" w:sz="0" w:space="0" w:color="auto"/>
                                      </w:divBdr>
                                      <w:divsChild>
                                        <w:div w:id="1523015899">
                                          <w:marLeft w:val="0"/>
                                          <w:marRight w:val="0"/>
                                          <w:marTop w:val="0"/>
                                          <w:marBottom w:val="0"/>
                                          <w:divBdr>
                                            <w:top w:val="none" w:sz="0" w:space="0" w:color="auto"/>
                                            <w:left w:val="none" w:sz="0" w:space="0" w:color="auto"/>
                                            <w:bottom w:val="none" w:sz="0" w:space="0" w:color="auto"/>
                                            <w:right w:val="none" w:sz="0" w:space="0" w:color="auto"/>
                                          </w:divBdr>
                                          <w:divsChild>
                                            <w:div w:id="1607808950">
                                              <w:marLeft w:val="0"/>
                                              <w:marRight w:val="0"/>
                                              <w:marTop w:val="0"/>
                                              <w:marBottom w:val="0"/>
                                              <w:divBdr>
                                                <w:top w:val="none" w:sz="0" w:space="0" w:color="auto"/>
                                                <w:left w:val="none" w:sz="0" w:space="0" w:color="auto"/>
                                                <w:bottom w:val="none" w:sz="0" w:space="0" w:color="auto"/>
                                                <w:right w:val="none" w:sz="0" w:space="0" w:color="auto"/>
                                              </w:divBdr>
                                              <w:divsChild>
                                                <w:div w:id="2132287212">
                                                  <w:marLeft w:val="0"/>
                                                  <w:marRight w:val="0"/>
                                                  <w:marTop w:val="0"/>
                                                  <w:marBottom w:val="0"/>
                                                  <w:divBdr>
                                                    <w:top w:val="none" w:sz="0" w:space="0" w:color="auto"/>
                                                    <w:left w:val="none" w:sz="0" w:space="0" w:color="auto"/>
                                                    <w:bottom w:val="none" w:sz="0" w:space="0" w:color="auto"/>
                                                    <w:right w:val="none" w:sz="0" w:space="0" w:color="auto"/>
                                                  </w:divBdr>
                                                  <w:divsChild>
                                                    <w:div w:id="747576152">
                                                      <w:marLeft w:val="0"/>
                                                      <w:marRight w:val="0"/>
                                                      <w:marTop w:val="0"/>
                                                      <w:marBottom w:val="0"/>
                                                      <w:divBdr>
                                                        <w:top w:val="none" w:sz="0" w:space="0" w:color="auto"/>
                                                        <w:left w:val="none" w:sz="0" w:space="0" w:color="auto"/>
                                                        <w:bottom w:val="none" w:sz="0" w:space="0" w:color="auto"/>
                                                        <w:right w:val="none" w:sz="0" w:space="0" w:color="auto"/>
                                                      </w:divBdr>
                                                      <w:divsChild>
                                                        <w:div w:id="1763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620065">
      <w:bodyDiv w:val="1"/>
      <w:marLeft w:val="0"/>
      <w:marRight w:val="0"/>
      <w:marTop w:val="0"/>
      <w:marBottom w:val="0"/>
      <w:divBdr>
        <w:top w:val="none" w:sz="0" w:space="0" w:color="auto"/>
        <w:left w:val="none" w:sz="0" w:space="0" w:color="auto"/>
        <w:bottom w:val="none" w:sz="0" w:space="0" w:color="auto"/>
        <w:right w:val="none" w:sz="0" w:space="0" w:color="auto"/>
      </w:divBdr>
      <w:divsChild>
        <w:div w:id="1953825358">
          <w:marLeft w:val="0"/>
          <w:marRight w:val="0"/>
          <w:marTop w:val="0"/>
          <w:marBottom w:val="0"/>
          <w:divBdr>
            <w:top w:val="none" w:sz="0" w:space="0" w:color="auto"/>
            <w:left w:val="none" w:sz="0" w:space="0" w:color="auto"/>
            <w:bottom w:val="none" w:sz="0" w:space="0" w:color="auto"/>
            <w:right w:val="none" w:sz="0" w:space="0" w:color="auto"/>
          </w:divBdr>
          <w:divsChild>
            <w:div w:id="916860834">
              <w:marLeft w:val="0"/>
              <w:marRight w:val="0"/>
              <w:marTop w:val="0"/>
              <w:marBottom w:val="0"/>
              <w:divBdr>
                <w:top w:val="none" w:sz="0" w:space="0" w:color="auto"/>
                <w:left w:val="none" w:sz="0" w:space="0" w:color="auto"/>
                <w:bottom w:val="none" w:sz="0" w:space="0" w:color="auto"/>
                <w:right w:val="none" w:sz="0" w:space="0" w:color="auto"/>
              </w:divBdr>
              <w:divsChild>
                <w:div w:id="623997581">
                  <w:marLeft w:val="0"/>
                  <w:marRight w:val="0"/>
                  <w:marTop w:val="0"/>
                  <w:marBottom w:val="0"/>
                  <w:divBdr>
                    <w:top w:val="none" w:sz="0" w:space="0" w:color="auto"/>
                    <w:left w:val="none" w:sz="0" w:space="0" w:color="auto"/>
                    <w:bottom w:val="none" w:sz="0" w:space="0" w:color="auto"/>
                    <w:right w:val="none" w:sz="0" w:space="0" w:color="auto"/>
                  </w:divBdr>
                  <w:divsChild>
                    <w:div w:id="158425109">
                      <w:marLeft w:val="0"/>
                      <w:marRight w:val="0"/>
                      <w:marTop w:val="0"/>
                      <w:marBottom w:val="0"/>
                      <w:divBdr>
                        <w:top w:val="none" w:sz="0" w:space="0" w:color="auto"/>
                        <w:left w:val="none" w:sz="0" w:space="0" w:color="auto"/>
                        <w:bottom w:val="none" w:sz="0" w:space="0" w:color="auto"/>
                        <w:right w:val="none" w:sz="0" w:space="0" w:color="auto"/>
                      </w:divBdr>
                      <w:divsChild>
                        <w:div w:id="361630858">
                          <w:marLeft w:val="0"/>
                          <w:marRight w:val="0"/>
                          <w:marTop w:val="0"/>
                          <w:marBottom w:val="0"/>
                          <w:divBdr>
                            <w:top w:val="none" w:sz="0" w:space="0" w:color="auto"/>
                            <w:left w:val="none" w:sz="0" w:space="0" w:color="auto"/>
                            <w:bottom w:val="none" w:sz="0" w:space="0" w:color="auto"/>
                            <w:right w:val="none" w:sz="0" w:space="0" w:color="auto"/>
                          </w:divBdr>
                          <w:divsChild>
                            <w:div w:id="373621911">
                              <w:marLeft w:val="0"/>
                              <w:marRight w:val="0"/>
                              <w:marTop w:val="0"/>
                              <w:marBottom w:val="0"/>
                              <w:divBdr>
                                <w:top w:val="none" w:sz="0" w:space="0" w:color="auto"/>
                                <w:left w:val="none" w:sz="0" w:space="0" w:color="auto"/>
                                <w:bottom w:val="none" w:sz="0" w:space="0" w:color="auto"/>
                                <w:right w:val="none" w:sz="0" w:space="0" w:color="auto"/>
                              </w:divBdr>
                              <w:divsChild>
                                <w:div w:id="1668635154">
                                  <w:marLeft w:val="0"/>
                                  <w:marRight w:val="0"/>
                                  <w:marTop w:val="0"/>
                                  <w:marBottom w:val="0"/>
                                  <w:divBdr>
                                    <w:top w:val="none" w:sz="0" w:space="0" w:color="auto"/>
                                    <w:left w:val="none" w:sz="0" w:space="0" w:color="auto"/>
                                    <w:bottom w:val="none" w:sz="0" w:space="0" w:color="auto"/>
                                    <w:right w:val="none" w:sz="0" w:space="0" w:color="auto"/>
                                  </w:divBdr>
                                  <w:divsChild>
                                    <w:div w:id="2000687495">
                                      <w:marLeft w:val="0"/>
                                      <w:marRight w:val="0"/>
                                      <w:marTop w:val="0"/>
                                      <w:marBottom w:val="0"/>
                                      <w:divBdr>
                                        <w:top w:val="none" w:sz="0" w:space="0" w:color="auto"/>
                                        <w:left w:val="none" w:sz="0" w:space="0" w:color="auto"/>
                                        <w:bottom w:val="none" w:sz="0" w:space="0" w:color="auto"/>
                                        <w:right w:val="none" w:sz="0" w:space="0" w:color="auto"/>
                                      </w:divBdr>
                                      <w:divsChild>
                                        <w:div w:id="889417722">
                                          <w:marLeft w:val="0"/>
                                          <w:marRight w:val="0"/>
                                          <w:marTop w:val="0"/>
                                          <w:marBottom w:val="0"/>
                                          <w:divBdr>
                                            <w:top w:val="none" w:sz="0" w:space="0" w:color="auto"/>
                                            <w:left w:val="none" w:sz="0" w:space="0" w:color="auto"/>
                                            <w:bottom w:val="none" w:sz="0" w:space="0" w:color="auto"/>
                                            <w:right w:val="none" w:sz="0" w:space="0" w:color="auto"/>
                                          </w:divBdr>
                                          <w:divsChild>
                                            <w:div w:id="1420103432">
                                              <w:marLeft w:val="0"/>
                                              <w:marRight w:val="0"/>
                                              <w:marTop w:val="0"/>
                                              <w:marBottom w:val="0"/>
                                              <w:divBdr>
                                                <w:top w:val="none" w:sz="0" w:space="0" w:color="auto"/>
                                                <w:left w:val="none" w:sz="0" w:space="0" w:color="auto"/>
                                                <w:bottom w:val="none" w:sz="0" w:space="0" w:color="auto"/>
                                                <w:right w:val="none" w:sz="0" w:space="0" w:color="auto"/>
                                              </w:divBdr>
                                              <w:divsChild>
                                                <w:div w:id="512185469">
                                                  <w:marLeft w:val="0"/>
                                                  <w:marRight w:val="0"/>
                                                  <w:marTop w:val="0"/>
                                                  <w:marBottom w:val="0"/>
                                                  <w:divBdr>
                                                    <w:top w:val="none" w:sz="0" w:space="0" w:color="auto"/>
                                                    <w:left w:val="none" w:sz="0" w:space="0" w:color="auto"/>
                                                    <w:bottom w:val="none" w:sz="0" w:space="0" w:color="auto"/>
                                                    <w:right w:val="none" w:sz="0" w:space="0" w:color="auto"/>
                                                  </w:divBdr>
                                                  <w:divsChild>
                                                    <w:div w:id="718670966">
                                                      <w:marLeft w:val="0"/>
                                                      <w:marRight w:val="0"/>
                                                      <w:marTop w:val="0"/>
                                                      <w:marBottom w:val="0"/>
                                                      <w:divBdr>
                                                        <w:top w:val="none" w:sz="0" w:space="0" w:color="auto"/>
                                                        <w:left w:val="none" w:sz="0" w:space="0" w:color="auto"/>
                                                        <w:bottom w:val="none" w:sz="0" w:space="0" w:color="auto"/>
                                                        <w:right w:val="none" w:sz="0" w:space="0" w:color="auto"/>
                                                      </w:divBdr>
                                                      <w:divsChild>
                                                        <w:div w:id="10053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WatSan Unit – IFRC Geneva Secretariat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9E76C-C25E-442D-8CBB-B69A77FB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Look-back study                                               Short guidance</vt:lpstr>
    </vt:vector>
  </TitlesOfParts>
  <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Look-back study                                               Short guidance</dc:title>
  <dc:subject>For Red Cross / Red Crescent WatSan Programmes.                      </dc:subject>
  <dc:creator>by</dc:creator>
  <cp:lastModifiedBy>Libertad Gonzalez</cp:lastModifiedBy>
  <cp:revision>20</cp:revision>
  <cp:lastPrinted>2013-04-27T14:56:00Z</cp:lastPrinted>
  <dcterms:created xsi:type="dcterms:W3CDTF">2013-01-09T14:31:00Z</dcterms:created>
  <dcterms:modified xsi:type="dcterms:W3CDTF">2013-04-27T14:57:00Z</dcterms:modified>
</cp:coreProperties>
</file>